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D4E9A" w14:textId="77777777" w:rsidR="00765DDA" w:rsidRPr="009213B5" w:rsidRDefault="001C6F23" w:rsidP="00342956">
      <w:pPr>
        <w:pStyle w:val="Titre1"/>
        <w:spacing w:before="0"/>
        <w:jc w:val="center"/>
        <w:rPr>
          <w:rFonts w:asciiTheme="minorHAnsi" w:hAnsiTheme="minorHAnsi"/>
          <w:b/>
          <w:szCs w:val="28"/>
        </w:rPr>
      </w:pPr>
      <w:r w:rsidRPr="009213B5">
        <w:rPr>
          <w:rFonts w:asciiTheme="minorHAnsi" w:hAnsiTheme="minorHAnsi"/>
          <w:b/>
          <w:szCs w:val="28"/>
        </w:rPr>
        <w:t>LISTE DE VÉRIFICATION POUR UNE DEMANDE D’AUTORISATION</w:t>
      </w:r>
      <w:r w:rsidRPr="009213B5">
        <w:rPr>
          <w:rFonts w:asciiTheme="minorHAnsi" w:hAnsiTheme="minorHAnsi"/>
          <w:b/>
          <w:szCs w:val="28"/>
        </w:rPr>
        <w:br/>
        <w:t>DE FORAGE EN MILIEU TERRESTRE EN VERTU D’UNE CESSION</w:t>
      </w:r>
    </w:p>
    <w:p w14:paraId="355D4E9B" w14:textId="77777777" w:rsidR="00342956" w:rsidRDefault="00342956" w:rsidP="001C6F23">
      <w:pPr>
        <w:spacing w:after="0"/>
        <w:jc w:val="both"/>
      </w:pPr>
    </w:p>
    <w:p w14:paraId="355D4E9C" w14:textId="62B145CD" w:rsidR="00571E74" w:rsidRDefault="0039388B" w:rsidP="0039388B">
      <w:pPr>
        <w:jc w:val="both"/>
      </w:pPr>
      <w:r>
        <w:t>Extrait</w:t>
      </w:r>
      <w:r w:rsidR="00396F3C">
        <w:t xml:space="preserve"> de l’article </w:t>
      </w:r>
      <w:r w:rsidR="00AD61B3">
        <w:t>113 du</w:t>
      </w:r>
      <w:r w:rsidR="00571E74">
        <w:t xml:space="preserve"> </w:t>
      </w:r>
      <w:r w:rsidR="00225A78">
        <w:rPr>
          <w:i/>
        </w:rPr>
        <w:t>Règlement sur les l</w:t>
      </w:r>
      <w:r w:rsidR="00571E74" w:rsidRPr="00571E74">
        <w:rPr>
          <w:i/>
        </w:rPr>
        <w:t xml:space="preserve">icences d’exploration, de production et de </w:t>
      </w:r>
      <w:r w:rsidR="00631F54">
        <w:rPr>
          <w:i/>
        </w:rPr>
        <w:br/>
      </w:r>
      <w:r w:rsidR="00571E74" w:rsidRPr="00571E74">
        <w:rPr>
          <w:i/>
        </w:rPr>
        <w:t>stockage d’hydrocarbures et autorisation de construction ou d’utilisation de pipeline</w:t>
      </w:r>
      <w:r w:rsidR="00631F54">
        <w:t xml:space="preserve"> (RLRQ, chapitre H</w:t>
      </w:r>
      <w:r w:rsidR="00CB74D8">
        <w:noBreakHyphen/>
      </w:r>
      <w:r w:rsidR="00631F54">
        <w:t>4.</w:t>
      </w:r>
      <w:r w:rsidR="00CB74D8">
        <w:t>2,</w:t>
      </w:r>
      <w:r w:rsidR="00631F54">
        <w:t> r.</w:t>
      </w:r>
      <w:r w:rsidR="00225A78">
        <w:t> </w:t>
      </w:r>
      <w:r w:rsidR="00631F54">
        <w:t>3</w:t>
      </w:r>
      <w:r w:rsidR="00CB74D8">
        <w:t>) :</w:t>
      </w:r>
    </w:p>
    <w:p w14:paraId="355D4E9D" w14:textId="77777777" w:rsidR="00571E74" w:rsidRDefault="00AD61B3" w:rsidP="0039388B">
      <w:pPr>
        <w:ind w:left="708"/>
        <w:jc w:val="both"/>
      </w:pPr>
      <w:r>
        <w:t>« </w:t>
      </w:r>
      <w:r w:rsidR="00571E74">
        <w:t xml:space="preserve">Pour chaque puits qui se trouve sur le terrain faisant l’objet de la licence et qui n’est pas fermé définitivement, le cessionnaire doit aussi faire une demande d’autorisation de forage prévue au </w:t>
      </w:r>
      <w:r w:rsidR="00571E74" w:rsidRPr="00571E74">
        <w:rPr>
          <w:i/>
        </w:rPr>
        <w:t>Règlement sur les activités d’exploration, de production et de stockage d’hydrocarbures en milieu terrestre</w:t>
      </w:r>
      <w:r w:rsidR="00571E74">
        <w:t xml:space="preserve"> ou au </w:t>
      </w:r>
      <w:r w:rsidR="00571E74" w:rsidRPr="00571E74">
        <w:rPr>
          <w:i/>
        </w:rPr>
        <w:t>Règlement sur les activités d’exploration, de production et de stockage d’hydrocarbures en milieu hydrique</w:t>
      </w:r>
      <w:r w:rsidR="00571E74">
        <w:t>, selon le cas.</w:t>
      </w:r>
      <w:r>
        <w:t> »</w:t>
      </w:r>
    </w:p>
    <w:p w14:paraId="355D4E9E" w14:textId="3F306B6E" w:rsidR="00571E74" w:rsidRDefault="00571E74" w:rsidP="0039388B">
      <w:pPr>
        <w:jc w:val="both"/>
      </w:pPr>
      <w:r>
        <w:t>Le contenu d’une demande d’autorisation de forage doit respecter les</w:t>
      </w:r>
      <w:r w:rsidR="00396F3C">
        <w:t xml:space="preserve"> modalités prévues aux articles </w:t>
      </w:r>
      <w:r>
        <w:t xml:space="preserve">77 à 83 de la </w:t>
      </w:r>
      <w:r w:rsidRPr="00AD61B3">
        <w:rPr>
          <w:i/>
        </w:rPr>
        <w:t>Loi sur les hydrocarbures</w:t>
      </w:r>
      <w:r w:rsidR="00396F3C">
        <w:t xml:space="preserve"> </w:t>
      </w:r>
      <w:r w:rsidR="00631F54">
        <w:t>(RLRQ, chapitre H</w:t>
      </w:r>
      <w:r w:rsidR="00631F54">
        <w:noBreakHyphen/>
        <w:t xml:space="preserve">4.2) </w:t>
      </w:r>
      <w:r w:rsidR="00396F3C">
        <w:t>ainsi qu’aux articles </w:t>
      </w:r>
      <w:r>
        <w:t xml:space="preserve">120 et suivants du </w:t>
      </w:r>
      <w:r w:rsidRPr="00571E74">
        <w:rPr>
          <w:i/>
        </w:rPr>
        <w:t>Règlement sur les activités d’exploration, de production et de stockage d’hydrocarbures en milieu terrestre</w:t>
      </w:r>
      <w:r w:rsidR="006C5685">
        <w:rPr>
          <w:i/>
        </w:rPr>
        <w:t xml:space="preserve"> </w:t>
      </w:r>
      <w:r w:rsidR="006C5685">
        <w:t>(</w:t>
      </w:r>
      <w:r w:rsidR="00631F54">
        <w:t>RLRQ, chapitre H-4.2, r. 2;</w:t>
      </w:r>
      <w:r w:rsidR="006C5685">
        <w:t>c</w:t>
      </w:r>
      <w:r w:rsidR="00AD61B3">
        <w:t>i-après :</w:t>
      </w:r>
      <w:r w:rsidR="00373B00">
        <w:t xml:space="preserve"> </w:t>
      </w:r>
      <w:r w:rsidR="00AD61B3">
        <w:t>« </w:t>
      </w:r>
      <w:r w:rsidR="006E6C87" w:rsidRPr="00AD61B3">
        <w:t>Règlement</w:t>
      </w:r>
      <w:r w:rsidR="00AD61B3">
        <w:t> »</w:t>
      </w:r>
      <w:r w:rsidR="006C5685">
        <w:t>)</w:t>
      </w:r>
      <w:r>
        <w:t>.</w:t>
      </w:r>
      <w:r w:rsidR="006E6C87">
        <w:t xml:space="preserve"> Dans ces circonstances d’un puits déjà foré, certaines exigences énumérées dans le</w:t>
      </w:r>
      <w:r w:rsidR="006E6C87" w:rsidRPr="006C5685">
        <w:rPr>
          <w:i/>
        </w:rPr>
        <w:t xml:space="preserve"> </w:t>
      </w:r>
      <w:r w:rsidR="006E6C87" w:rsidRPr="00AD61B3">
        <w:t>Règlement</w:t>
      </w:r>
      <w:r w:rsidR="006E6C87">
        <w:t xml:space="preserve"> ne </w:t>
      </w:r>
      <w:r w:rsidR="008E69C1">
        <w:t>sont pas applicables</w:t>
      </w:r>
      <w:r w:rsidR="006E6C87">
        <w:t xml:space="preserve">. Le cessionnaire doit donc déposer une demande qui s’apparente davantage à une mise à jour de la demande initiale de permis de forage de puits ou d’autorisation de forage. Le </w:t>
      </w:r>
      <w:r w:rsidR="0039388B">
        <w:fldChar w:fldCharType="begin"/>
      </w:r>
      <w:r w:rsidR="0039388B">
        <w:instrText xml:space="preserve"> REF _Ref536794614 \h </w:instrText>
      </w:r>
      <w:r w:rsidR="0039388B">
        <w:fldChar w:fldCharType="separate"/>
      </w:r>
      <w:r w:rsidR="005435D9" w:rsidRPr="004A1CB2">
        <w:t xml:space="preserve">Tableau </w:t>
      </w:r>
      <w:r w:rsidR="005435D9">
        <w:rPr>
          <w:noProof/>
        </w:rPr>
        <w:t>1</w:t>
      </w:r>
      <w:r w:rsidR="0039388B">
        <w:fldChar w:fldCharType="end"/>
      </w:r>
      <w:r w:rsidR="0039388B">
        <w:t xml:space="preserve"> </w:t>
      </w:r>
      <w:r w:rsidR="006E6C87">
        <w:t>indique les éléments qui d</w:t>
      </w:r>
      <w:r w:rsidR="002C7EDC">
        <w:t>oivent</w:t>
      </w:r>
      <w:r w:rsidR="006E6C87">
        <w:t xml:space="preserve"> être fournis par le ce</w:t>
      </w:r>
      <w:r w:rsidR="002C7EDC">
        <w:t>s</w:t>
      </w:r>
      <w:r w:rsidR="006E6C87">
        <w:t>sionnaire dans sa demande d’autorisation de forage</w:t>
      </w:r>
      <w:r w:rsidR="002C7EDC">
        <w:t>.</w:t>
      </w:r>
    </w:p>
    <w:p w14:paraId="355D4E9F" w14:textId="3DF562D5" w:rsidR="002C7EDC" w:rsidRPr="00C53174" w:rsidRDefault="002C7EDC" w:rsidP="00C53174">
      <w:pPr>
        <w:pStyle w:val="Lgende"/>
        <w:keepNext/>
        <w:jc w:val="both"/>
        <w:rPr>
          <w:color w:val="auto"/>
          <w:sz w:val="23"/>
          <w:szCs w:val="23"/>
        </w:rPr>
      </w:pPr>
      <w:bookmarkStart w:id="0" w:name="_Ref536794614"/>
      <w:r w:rsidRPr="00C53174">
        <w:rPr>
          <w:color w:val="auto"/>
          <w:sz w:val="23"/>
          <w:szCs w:val="23"/>
        </w:rPr>
        <w:t>Tableau</w:t>
      </w:r>
      <w:r w:rsidR="00631F54" w:rsidRPr="00C53174">
        <w:rPr>
          <w:color w:val="auto"/>
          <w:sz w:val="23"/>
          <w:szCs w:val="23"/>
        </w:rPr>
        <w:t> </w:t>
      </w:r>
      <w:r w:rsidR="004B09B8" w:rsidRPr="00C53174">
        <w:rPr>
          <w:noProof/>
          <w:color w:val="auto"/>
          <w:sz w:val="23"/>
          <w:szCs w:val="23"/>
        </w:rPr>
        <w:fldChar w:fldCharType="begin"/>
      </w:r>
      <w:r w:rsidR="004B09B8" w:rsidRPr="00C53174">
        <w:rPr>
          <w:noProof/>
          <w:color w:val="auto"/>
          <w:sz w:val="23"/>
          <w:szCs w:val="23"/>
        </w:rPr>
        <w:instrText xml:space="preserve"> SEQ Tableau \* ARABIC </w:instrText>
      </w:r>
      <w:r w:rsidR="004B09B8" w:rsidRPr="00C53174">
        <w:rPr>
          <w:noProof/>
          <w:color w:val="auto"/>
          <w:sz w:val="23"/>
          <w:szCs w:val="23"/>
        </w:rPr>
        <w:fldChar w:fldCharType="separate"/>
      </w:r>
      <w:r w:rsidR="005435D9" w:rsidRPr="00C53174">
        <w:rPr>
          <w:noProof/>
          <w:color w:val="auto"/>
          <w:sz w:val="23"/>
          <w:szCs w:val="23"/>
        </w:rPr>
        <w:t>1</w:t>
      </w:r>
      <w:r w:rsidR="004B09B8" w:rsidRPr="00C53174">
        <w:rPr>
          <w:noProof/>
          <w:color w:val="auto"/>
          <w:sz w:val="23"/>
          <w:szCs w:val="23"/>
        </w:rPr>
        <w:fldChar w:fldCharType="end"/>
      </w:r>
      <w:bookmarkEnd w:id="0"/>
      <w:r w:rsidR="00631F54" w:rsidRPr="00C53174">
        <w:rPr>
          <w:color w:val="auto"/>
          <w:sz w:val="23"/>
          <w:szCs w:val="23"/>
        </w:rPr>
        <w:t> </w:t>
      </w:r>
      <w:r w:rsidRPr="00C53174">
        <w:rPr>
          <w:color w:val="auto"/>
          <w:sz w:val="23"/>
          <w:szCs w:val="23"/>
        </w:rPr>
        <w:t>: Éléments à inclure par le cessionnaire dans la demande d'autorisation de forage</w:t>
      </w:r>
    </w:p>
    <w:tbl>
      <w:tblPr>
        <w:tblStyle w:val="Grilledutableau"/>
        <w:tblW w:w="8783" w:type="dxa"/>
        <w:tblLook w:val="04A0" w:firstRow="1" w:lastRow="0" w:firstColumn="1" w:lastColumn="0" w:noHBand="0" w:noVBand="1"/>
      </w:tblPr>
      <w:tblGrid>
        <w:gridCol w:w="1141"/>
        <w:gridCol w:w="6361"/>
        <w:gridCol w:w="1281"/>
      </w:tblGrid>
      <w:tr w:rsidR="00F66551" w:rsidRPr="00F66551" w14:paraId="355D4EA3" w14:textId="77777777" w:rsidTr="00C53174">
        <w:trPr>
          <w:trHeight w:val="414"/>
          <w:tblHeader/>
        </w:trPr>
        <w:tc>
          <w:tcPr>
            <w:tcW w:w="1141" w:type="dxa"/>
            <w:shd w:val="clear" w:color="auto" w:fill="2E74B5" w:themeFill="accent1" w:themeFillShade="BF"/>
            <w:vAlign w:val="center"/>
          </w:tcPr>
          <w:p w14:paraId="355D4EA0" w14:textId="77777777" w:rsidR="00571E74" w:rsidRPr="00F66551" w:rsidRDefault="008E69C1" w:rsidP="00F66551">
            <w:pPr>
              <w:jc w:val="center"/>
              <w:rPr>
                <w:b/>
                <w:color w:val="FFFFFF" w:themeColor="background1"/>
              </w:rPr>
            </w:pPr>
            <w:r w:rsidRPr="00F66551">
              <w:rPr>
                <w:b/>
                <w:color w:val="FFFFFF" w:themeColor="background1"/>
              </w:rPr>
              <w:t>A</w:t>
            </w:r>
            <w:r w:rsidR="00571E74" w:rsidRPr="00F66551">
              <w:rPr>
                <w:b/>
                <w:color w:val="FFFFFF" w:themeColor="background1"/>
              </w:rPr>
              <w:t>rticle</w:t>
            </w:r>
          </w:p>
        </w:tc>
        <w:tc>
          <w:tcPr>
            <w:tcW w:w="6361" w:type="dxa"/>
            <w:shd w:val="clear" w:color="auto" w:fill="2E74B5" w:themeFill="accent1" w:themeFillShade="BF"/>
            <w:vAlign w:val="center"/>
          </w:tcPr>
          <w:p w14:paraId="355D4EA1" w14:textId="77777777" w:rsidR="00571E74" w:rsidRPr="00F66551" w:rsidRDefault="00571E74" w:rsidP="00F66551">
            <w:pPr>
              <w:jc w:val="center"/>
              <w:rPr>
                <w:b/>
                <w:color w:val="FFFFFF" w:themeColor="background1"/>
              </w:rPr>
            </w:pPr>
            <w:r w:rsidRPr="00F66551">
              <w:rPr>
                <w:b/>
                <w:color w:val="FFFFFF" w:themeColor="background1"/>
              </w:rPr>
              <w:t>Information</w:t>
            </w:r>
            <w:r w:rsidR="005435D9">
              <w:rPr>
                <w:b/>
                <w:color w:val="FFFFFF" w:themeColor="background1"/>
              </w:rPr>
              <w:t>s</w:t>
            </w:r>
            <w:r w:rsidRPr="00F66551">
              <w:rPr>
                <w:b/>
                <w:color w:val="FFFFFF" w:themeColor="background1"/>
              </w:rPr>
              <w:t xml:space="preserve"> </w:t>
            </w:r>
            <w:r w:rsidR="00A45877" w:rsidRPr="00F66551">
              <w:rPr>
                <w:b/>
                <w:color w:val="FFFFFF" w:themeColor="background1"/>
              </w:rPr>
              <w:t>accompagnant la demande</w:t>
            </w:r>
            <w:r w:rsidR="008E69C1" w:rsidRPr="00F66551">
              <w:rPr>
                <w:rStyle w:val="Appelnotedebasdep"/>
                <w:b/>
                <w:color w:val="FFFFFF" w:themeColor="background1"/>
              </w:rPr>
              <w:footnoteReference w:id="1"/>
            </w:r>
          </w:p>
        </w:tc>
        <w:tc>
          <w:tcPr>
            <w:tcW w:w="1281" w:type="dxa"/>
            <w:shd w:val="clear" w:color="auto" w:fill="2E74B5" w:themeFill="accent1" w:themeFillShade="BF"/>
            <w:vAlign w:val="center"/>
          </w:tcPr>
          <w:p w14:paraId="355D4EA2" w14:textId="77777777" w:rsidR="00571E74" w:rsidRPr="00F66551" w:rsidRDefault="00F66551" w:rsidP="00F66551">
            <w:pPr>
              <w:jc w:val="center"/>
              <w:rPr>
                <w:b/>
                <w:color w:val="FFFFFF" w:themeColor="background1"/>
              </w:rPr>
            </w:pPr>
            <w:r w:rsidRPr="00F66551">
              <w:rPr>
                <w:b/>
                <w:color w:val="FFFFFF" w:themeColor="background1"/>
              </w:rPr>
              <w:t>Inclus</w:t>
            </w:r>
          </w:p>
        </w:tc>
      </w:tr>
      <w:tr w:rsidR="000B66AD" w14:paraId="355D4EA5" w14:textId="77777777" w:rsidTr="00D5243A">
        <w:tc>
          <w:tcPr>
            <w:tcW w:w="8783" w:type="dxa"/>
            <w:gridSpan w:val="3"/>
          </w:tcPr>
          <w:p w14:paraId="355D4EA4" w14:textId="77777777" w:rsidR="000B66AD" w:rsidRPr="002E3467" w:rsidRDefault="004A1CB2" w:rsidP="000B66AD">
            <w:pPr>
              <w:rPr>
                <w:rFonts w:ascii="Verdana" w:hAnsi="Verdana"/>
                <w:b/>
                <w:sz w:val="16"/>
                <w:szCs w:val="16"/>
              </w:rPr>
            </w:pPr>
            <w:r>
              <w:rPr>
                <w:b/>
              </w:rPr>
              <w:t>Chapitre </w:t>
            </w:r>
            <w:r w:rsidR="000B66AD" w:rsidRPr="002E3467">
              <w:rPr>
                <w:b/>
              </w:rPr>
              <w:t>I : Dispositions générales</w:t>
            </w:r>
          </w:p>
        </w:tc>
      </w:tr>
      <w:tr w:rsidR="00571E74" w14:paraId="355D4EA9" w14:textId="77777777" w:rsidTr="00D5243A">
        <w:tc>
          <w:tcPr>
            <w:tcW w:w="1141" w:type="dxa"/>
          </w:tcPr>
          <w:p w14:paraId="355D4EA6" w14:textId="77777777" w:rsidR="00571E74" w:rsidRDefault="00866A75" w:rsidP="00571E74">
            <w:r>
              <w:t>4</w:t>
            </w:r>
          </w:p>
        </w:tc>
        <w:tc>
          <w:tcPr>
            <w:tcW w:w="6361" w:type="dxa"/>
          </w:tcPr>
          <w:p w14:paraId="355D4EA7" w14:textId="77777777" w:rsidR="00571E74" w:rsidRDefault="000B66AD" w:rsidP="00AD61B3">
            <w:pPr>
              <w:jc w:val="both"/>
            </w:pPr>
            <w:r>
              <w:t>Tous les documents devant être transmis au ministre</w:t>
            </w:r>
            <w:r w:rsidR="002E3467">
              <w:t xml:space="preserve"> </w:t>
            </w:r>
            <w:r>
              <w:t>en vertu du présent règlement doivent aussi l’être en</w:t>
            </w:r>
            <w:r w:rsidR="002E3467">
              <w:t xml:space="preserve"> </w:t>
            </w:r>
            <w:r>
              <w:t>version électronique, en format PDF.</w:t>
            </w:r>
          </w:p>
        </w:tc>
        <w:tc>
          <w:tcPr>
            <w:tcW w:w="1281" w:type="dxa"/>
          </w:tcPr>
          <w:sdt>
            <w:sdtPr>
              <w:rPr>
                <w:rFonts w:ascii="Verdana" w:hAnsi="Verdana"/>
                <w:sz w:val="16"/>
                <w:szCs w:val="16"/>
              </w:rPr>
              <w:id w:val="893930417"/>
              <w14:checkbox>
                <w14:checked w14:val="0"/>
                <w14:checkedState w14:val="2612" w14:font="MS Gothic"/>
                <w14:uncheckedState w14:val="2610" w14:font="MS Gothic"/>
              </w14:checkbox>
            </w:sdtPr>
            <w:sdtEndPr/>
            <w:sdtContent>
              <w:p w14:paraId="355D4EA8" w14:textId="6BDB3086" w:rsidR="002E3467" w:rsidRPr="002E3467" w:rsidRDefault="00B91218" w:rsidP="00AD61B3">
                <w:pPr>
                  <w:jc w:val="center"/>
                  <w:rPr>
                    <w:rFonts w:ascii="Verdana" w:hAnsi="Verdana"/>
                    <w:sz w:val="16"/>
                    <w:szCs w:val="16"/>
                  </w:rPr>
                </w:pPr>
                <w:r>
                  <w:rPr>
                    <w:rFonts w:ascii="MS Gothic" w:eastAsia="MS Gothic" w:hAnsi="MS Gothic" w:hint="eastAsia"/>
                    <w:sz w:val="16"/>
                    <w:szCs w:val="16"/>
                  </w:rPr>
                  <w:t>☐</w:t>
                </w:r>
              </w:p>
            </w:sdtContent>
          </w:sdt>
        </w:tc>
      </w:tr>
      <w:tr w:rsidR="002E3467" w14:paraId="355D4EAC" w14:textId="77777777" w:rsidTr="00D5243A">
        <w:tc>
          <w:tcPr>
            <w:tcW w:w="1141" w:type="dxa"/>
          </w:tcPr>
          <w:p w14:paraId="355D4EAA" w14:textId="77777777" w:rsidR="002E3467" w:rsidRDefault="002E3467" w:rsidP="00571E74">
            <w:r>
              <w:t>4</w:t>
            </w:r>
          </w:p>
        </w:tc>
        <w:tc>
          <w:tcPr>
            <w:tcW w:w="7642" w:type="dxa"/>
            <w:gridSpan w:val="2"/>
          </w:tcPr>
          <w:p w14:paraId="355D4EAB" w14:textId="77777777" w:rsidR="002E3467" w:rsidRDefault="002E3467" w:rsidP="00AD61B3">
            <w:pPr>
              <w:jc w:val="both"/>
              <w:rPr>
                <w:rFonts w:ascii="Verdana" w:hAnsi="Verdana"/>
                <w:sz w:val="16"/>
                <w:szCs w:val="16"/>
              </w:rPr>
            </w:pPr>
            <w:r>
              <w:t>La version électronique des documents sui</w:t>
            </w:r>
            <w:r w:rsidR="00AD61B3">
              <w:t>vants doit aussi être transmise </w:t>
            </w:r>
            <w:r>
              <w:t>:</w:t>
            </w:r>
          </w:p>
        </w:tc>
      </w:tr>
      <w:tr w:rsidR="00866A75" w14:paraId="355D4EB0" w14:textId="77777777" w:rsidTr="00D5243A">
        <w:tc>
          <w:tcPr>
            <w:tcW w:w="1141" w:type="dxa"/>
          </w:tcPr>
          <w:p w14:paraId="355D4EAD" w14:textId="77777777" w:rsidR="00866A75" w:rsidRDefault="00866A75" w:rsidP="00571E74">
            <w:r>
              <w:t xml:space="preserve">4 </w:t>
            </w:r>
            <w:r w:rsidR="00D5243A">
              <w:t>(</w:t>
            </w:r>
            <w:r>
              <w:t>1°</w:t>
            </w:r>
            <w:r w:rsidR="00D5243A">
              <w:t>)</w:t>
            </w:r>
          </w:p>
        </w:tc>
        <w:tc>
          <w:tcPr>
            <w:tcW w:w="6361" w:type="dxa"/>
          </w:tcPr>
          <w:p w14:paraId="355D4EAE" w14:textId="77777777" w:rsidR="00866A75" w:rsidRDefault="00866A75" w:rsidP="00AD61B3">
            <w:pPr>
              <w:ind w:left="317"/>
              <w:jc w:val="both"/>
            </w:pPr>
            <w:r>
              <w:t>pour les données brutes des diagraphies, en</w:t>
            </w:r>
            <w:r w:rsidR="002E3467">
              <w:t xml:space="preserve"> </w:t>
            </w:r>
            <w:r w:rsidR="001F72F9">
              <w:t>fi</w:t>
            </w:r>
            <w:r>
              <w:t>chier ASCI</w:t>
            </w:r>
            <w:r w:rsidR="001F72F9">
              <w:t>I ou dans un format équivalent;</w:t>
            </w:r>
          </w:p>
        </w:tc>
        <w:sdt>
          <w:sdtPr>
            <w:rPr>
              <w:rFonts w:ascii="Verdana" w:hAnsi="Verdana"/>
              <w:sz w:val="16"/>
              <w:szCs w:val="16"/>
            </w:rPr>
            <w:id w:val="-2041110851"/>
            <w14:checkbox>
              <w14:checked w14:val="0"/>
              <w14:checkedState w14:val="2612" w14:font="MS Gothic"/>
              <w14:uncheckedState w14:val="2610" w14:font="MS Gothic"/>
            </w14:checkbox>
          </w:sdtPr>
          <w:sdtEndPr/>
          <w:sdtContent>
            <w:tc>
              <w:tcPr>
                <w:tcW w:w="1281" w:type="dxa"/>
              </w:tcPr>
              <w:p w14:paraId="355D4EAF" w14:textId="63DA28B6" w:rsidR="00866A75" w:rsidRDefault="00B91218" w:rsidP="00AD61B3">
                <w:pPr>
                  <w:jc w:val="center"/>
                  <w:rPr>
                    <w:rFonts w:ascii="Verdana" w:hAnsi="Verdana"/>
                    <w:sz w:val="16"/>
                    <w:szCs w:val="16"/>
                  </w:rPr>
                </w:pPr>
                <w:r>
                  <w:rPr>
                    <w:rFonts w:ascii="MS Gothic" w:eastAsia="MS Gothic" w:hAnsi="MS Gothic" w:hint="eastAsia"/>
                    <w:sz w:val="16"/>
                    <w:szCs w:val="16"/>
                  </w:rPr>
                  <w:t>☐</w:t>
                </w:r>
              </w:p>
            </w:tc>
          </w:sdtContent>
        </w:sdt>
      </w:tr>
      <w:tr w:rsidR="00866A75" w14:paraId="355D4EB4" w14:textId="77777777" w:rsidTr="00D5243A">
        <w:tc>
          <w:tcPr>
            <w:tcW w:w="1141" w:type="dxa"/>
          </w:tcPr>
          <w:p w14:paraId="355D4EB1" w14:textId="77777777" w:rsidR="00866A75" w:rsidRDefault="00866A75" w:rsidP="00571E74">
            <w:r>
              <w:t xml:space="preserve">4 </w:t>
            </w:r>
            <w:r w:rsidR="00D5243A">
              <w:t>(</w:t>
            </w:r>
            <w:r>
              <w:t>2°</w:t>
            </w:r>
            <w:r w:rsidR="00D5243A">
              <w:t>)</w:t>
            </w:r>
          </w:p>
        </w:tc>
        <w:tc>
          <w:tcPr>
            <w:tcW w:w="6361" w:type="dxa"/>
          </w:tcPr>
          <w:p w14:paraId="355D4EB2" w14:textId="77777777" w:rsidR="00866A75" w:rsidRDefault="00866A75" w:rsidP="00AD61B3">
            <w:pPr>
              <w:ind w:left="317"/>
              <w:jc w:val="both"/>
            </w:pPr>
            <w:r>
              <w:t>pour les données produites dans un logiciel de</w:t>
            </w:r>
            <w:r w:rsidR="002E3467">
              <w:t xml:space="preserve"> </w:t>
            </w:r>
            <w:r>
              <w:t>système d’inform</w:t>
            </w:r>
            <w:r w:rsidR="001F72F9">
              <w:t>ation géographique (SIG), en fi</w:t>
            </w:r>
            <w:r>
              <w:t>chier de</w:t>
            </w:r>
            <w:r w:rsidR="002E3467">
              <w:t xml:space="preserve"> </w:t>
            </w:r>
            <w:r>
              <w:t>forme.</w:t>
            </w:r>
          </w:p>
        </w:tc>
        <w:sdt>
          <w:sdtPr>
            <w:rPr>
              <w:rFonts w:ascii="Verdana" w:hAnsi="Verdana"/>
              <w:sz w:val="16"/>
              <w:szCs w:val="16"/>
            </w:rPr>
            <w:id w:val="-2043815122"/>
            <w14:checkbox>
              <w14:checked w14:val="0"/>
              <w14:checkedState w14:val="2612" w14:font="MS Gothic"/>
              <w14:uncheckedState w14:val="2610" w14:font="MS Gothic"/>
            </w14:checkbox>
          </w:sdtPr>
          <w:sdtEndPr/>
          <w:sdtContent>
            <w:tc>
              <w:tcPr>
                <w:tcW w:w="1281" w:type="dxa"/>
              </w:tcPr>
              <w:p w14:paraId="355D4EB3" w14:textId="5ADC1B38" w:rsidR="00866A75" w:rsidRDefault="00B91218" w:rsidP="00AD61B3">
                <w:pPr>
                  <w:jc w:val="center"/>
                  <w:rPr>
                    <w:rFonts w:ascii="Verdana" w:hAnsi="Verdana"/>
                    <w:sz w:val="16"/>
                    <w:szCs w:val="16"/>
                  </w:rPr>
                </w:pPr>
                <w:r>
                  <w:rPr>
                    <w:rFonts w:ascii="MS Gothic" w:eastAsia="MS Gothic" w:hAnsi="MS Gothic" w:hint="eastAsia"/>
                    <w:sz w:val="16"/>
                    <w:szCs w:val="16"/>
                  </w:rPr>
                  <w:t>☐</w:t>
                </w:r>
              </w:p>
            </w:tc>
          </w:sdtContent>
        </w:sdt>
      </w:tr>
      <w:tr w:rsidR="00571E74" w14:paraId="355D4EB8" w14:textId="77777777" w:rsidTr="00D5243A">
        <w:tc>
          <w:tcPr>
            <w:tcW w:w="1141" w:type="dxa"/>
          </w:tcPr>
          <w:p w14:paraId="355D4EB5" w14:textId="77777777" w:rsidR="00571E74" w:rsidRDefault="001F72F9" w:rsidP="00571E74">
            <w:r>
              <w:t>5</w:t>
            </w:r>
          </w:p>
        </w:tc>
        <w:tc>
          <w:tcPr>
            <w:tcW w:w="6361" w:type="dxa"/>
          </w:tcPr>
          <w:p w14:paraId="355D4EB6" w14:textId="77777777" w:rsidR="00571E74" w:rsidRDefault="000B66AD" w:rsidP="00AD61B3">
            <w:pPr>
              <w:jc w:val="both"/>
            </w:pPr>
            <w:r>
              <w:t>Dans les documents exigés en vertu du présent règlement,</w:t>
            </w:r>
            <w:r w:rsidR="002E3467">
              <w:t xml:space="preserve"> </w:t>
            </w:r>
            <w:r>
              <w:t>les unités de mesure doivent être exprimées selon</w:t>
            </w:r>
            <w:r w:rsidR="002E3467">
              <w:t xml:space="preserve"> </w:t>
            </w:r>
            <w:r>
              <w:t>le système international d’unité (SI).</w:t>
            </w:r>
          </w:p>
        </w:tc>
        <w:sdt>
          <w:sdtPr>
            <w:rPr>
              <w:rFonts w:ascii="Verdana" w:hAnsi="Verdana"/>
              <w:sz w:val="16"/>
              <w:szCs w:val="16"/>
            </w:rPr>
            <w:id w:val="727584253"/>
            <w14:checkbox>
              <w14:checked w14:val="0"/>
              <w14:checkedState w14:val="2612" w14:font="MS Gothic"/>
              <w14:uncheckedState w14:val="2610" w14:font="MS Gothic"/>
            </w14:checkbox>
          </w:sdtPr>
          <w:sdtEndPr/>
          <w:sdtContent>
            <w:tc>
              <w:tcPr>
                <w:tcW w:w="1281" w:type="dxa"/>
              </w:tcPr>
              <w:p w14:paraId="355D4EB7" w14:textId="77777777" w:rsidR="00571E74" w:rsidRDefault="000B66AD" w:rsidP="00AD61B3">
                <w:pPr>
                  <w:jc w:val="center"/>
                </w:pPr>
                <w:r>
                  <w:rPr>
                    <w:rFonts w:ascii="MS Gothic" w:eastAsia="MS Gothic" w:hAnsi="MS Gothic" w:hint="eastAsia"/>
                    <w:sz w:val="16"/>
                    <w:szCs w:val="16"/>
                  </w:rPr>
                  <w:t>☐</w:t>
                </w:r>
              </w:p>
            </w:tc>
          </w:sdtContent>
        </w:sdt>
      </w:tr>
      <w:tr w:rsidR="002E3467" w14:paraId="355D4EBA" w14:textId="77777777" w:rsidTr="00D5243A">
        <w:tc>
          <w:tcPr>
            <w:tcW w:w="8783" w:type="dxa"/>
            <w:gridSpan w:val="3"/>
          </w:tcPr>
          <w:p w14:paraId="355D4EB9" w14:textId="5F7EF362" w:rsidR="002E3467" w:rsidRPr="002E3467" w:rsidRDefault="004A1CB2" w:rsidP="002E3467">
            <w:pPr>
              <w:rPr>
                <w:rFonts w:ascii="Verdana" w:hAnsi="Verdana"/>
                <w:b/>
                <w:sz w:val="16"/>
                <w:szCs w:val="16"/>
              </w:rPr>
            </w:pPr>
            <w:r>
              <w:rPr>
                <w:b/>
              </w:rPr>
              <w:t>Chapitre </w:t>
            </w:r>
            <w:r w:rsidR="002E3467" w:rsidRPr="002E3467">
              <w:rPr>
                <w:b/>
              </w:rPr>
              <w:t>VII : Autorisation de forage</w:t>
            </w:r>
            <w:r w:rsidR="00373B00">
              <w:rPr>
                <w:b/>
              </w:rPr>
              <w:t xml:space="preserve"> </w:t>
            </w:r>
          </w:p>
        </w:tc>
      </w:tr>
      <w:tr w:rsidR="006327A3" w14:paraId="355D4EBC" w14:textId="77777777" w:rsidTr="00D5243A">
        <w:tc>
          <w:tcPr>
            <w:tcW w:w="8783" w:type="dxa"/>
            <w:gridSpan w:val="3"/>
          </w:tcPr>
          <w:p w14:paraId="355D4EBB" w14:textId="77777777" w:rsidR="006327A3" w:rsidRDefault="006327A3" w:rsidP="002E3467">
            <w:pPr>
              <w:rPr>
                <w:b/>
              </w:rPr>
            </w:pPr>
            <w:r>
              <w:rPr>
                <w:b/>
              </w:rPr>
              <w:t>Section I : Conditions d’obtention de l’autorisation</w:t>
            </w:r>
          </w:p>
        </w:tc>
      </w:tr>
      <w:tr w:rsidR="00571E74" w14:paraId="355D4EC0" w14:textId="77777777" w:rsidTr="00D5243A">
        <w:tc>
          <w:tcPr>
            <w:tcW w:w="1141" w:type="dxa"/>
          </w:tcPr>
          <w:p w14:paraId="355D4EBD" w14:textId="77777777" w:rsidR="00571E74" w:rsidRDefault="001F72F9" w:rsidP="00571E74">
            <w:r>
              <w:t>120</w:t>
            </w:r>
          </w:p>
        </w:tc>
        <w:tc>
          <w:tcPr>
            <w:tcW w:w="6361" w:type="dxa"/>
          </w:tcPr>
          <w:p w14:paraId="355D4EBE" w14:textId="77777777" w:rsidR="00571E74" w:rsidRDefault="000B66AD" w:rsidP="00AD61B3">
            <w:pPr>
              <w:jc w:val="both"/>
            </w:pPr>
            <w:r>
              <w:t>Le titulaire d’une licence qui désire obtenir une</w:t>
            </w:r>
            <w:r w:rsidR="002E3467">
              <w:t xml:space="preserve"> </w:t>
            </w:r>
            <w:r>
              <w:t>autorisation de forage doit en faire la demande au ministre</w:t>
            </w:r>
            <w:r w:rsidR="002E3467">
              <w:t xml:space="preserve"> </w:t>
            </w:r>
            <w:r>
              <w:t>par écrit.</w:t>
            </w:r>
          </w:p>
        </w:tc>
        <w:sdt>
          <w:sdtPr>
            <w:rPr>
              <w:rFonts w:ascii="Verdana" w:hAnsi="Verdana"/>
              <w:sz w:val="16"/>
              <w:szCs w:val="16"/>
            </w:rPr>
            <w:id w:val="602916923"/>
            <w14:checkbox>
              <w14:checked w14:val="0"/>
              <w14:checkedState w14:val="2612" w14:font="MS Gothic"/>
              <w14:uncheckedState w14:val="2610" w14:font="MS Gothic"/>
            </w14:checkbox>
          </w:sdtPr>
          <w:sdtEndPr/>
          <w:sdtContent>
            <w:tc>
              <w:tcPr>
                <w:tcW w:w="1281" w:type="dxa"/>
              </w:tcPr>
              <w:p w14:paraId="355D4EBF" w14:textId="77777777" w:rsidR="00571E74" w:rsidRDefault="000B66AD" w:rsidP="00AD61B3">
                <w:pPr>
                  <w:jc w:val="center"/>
                </w:pPr>
                <w:r>
                  <w:rPr>
                    <w:rFonts w:ascii="MS Gothic" w:eastAsia="MS Gothic" w:hAnsi="MS Gothic" w:hint="eastAsia"/>
                    <w:sz w:val="16"/>
                    <w:szCs w:val="16"/>
                  </w:rPr>
                  <w:t>☐</w:t>
                </w:r>
              </w:p>
            </w:tc>
          </w:sdtContent>
        </w:sdt>
      </w:tr>
      <w:tr w:rsidR="001F72F9" w14:paraId="355D4EC3" w14:textId="77777777" w:rsidTr="00D5243A">
        <w:tc>
          <w:tcPr>
            <w:tcW w:w="1141" w:type="dxa"/>
          </w:tcPr>
          <w:p w14:paraId="355D4EC1" w14:textId="77777777" w:rsidR="001F72F9" w:rsidRDefault="001F72F9" w:rsidP="00571E74">
            <w:r>
              <w:t>121</w:t>
            </w:r>
          </w:p>
        </w:tc>
        <w:tc>
          <w:tcPr>
            <w:tcW w:w="7642" w:type="dxa"/>
            <w:gridSpan w:val="2"/>
          </w:tcPr>
          <w:p w14:paraId="355D4EC2" w14:textId="77777777" w:rsidR="001F72F9" w:rsidRDefault="001F72F9" w:rsidP="00AD61B3">
            <w:pPr>
              <w:jc w:val="both"/>
              <w:rPr>
                <w:rFonts w:ascii="Verdana" w:hAnsi="Verdana"/>
                <w:sz w:val="16"/>
                <w:szCs w:val="16"/>
              </w:rPr>
            </w:pPr>
            <w:r>
              <w:t>La demande doit contenir les éléments suivants</w:t>
            </w:r>
            <w:r w:rsidR="00AD61B3">
              <w:t> </w:t>
            </w:r>
            <w:r>
              <w:t>:</w:t>
            </w:r>
          </w:p>
        </w:tc>
      </w:tr>
      <w:tr w:rsidR="00571E74" w14:paraId="355D4EC7" w14:textId="77777777" w:rsidTr="00D5243A">
        <w:tc>
          <w:tcPr>
            <w:tcW w:w="1141" w:type="dxa"/>
          </w:tcPr>
          <w:p w14:paraId="355D4EC4" w14:textId="77777777" w:rsidR="00571E74" w:rsidRDefault="002E3467" w:rsidP="00571E74">
            <w:r>
              <w:t xml:space="preserve">121 </w:t>
            </w:r>
            <w:r w:rsidR="00D5243A">
              <w:t>(</w:t>
            </w:r>
            <w:r>
              <w:t>1°</w:t>
            </w:r>
            <w:r w:rsidR="00D5243A">
              <w:t>)</w:t>
            </w:r>
          </w:p>
        </w:tc>
        <w:tc>
          <w:tcPr>
            <w:tcW w:w="6361" w:type="dxa"/>
          </w:tcPr>
          <w:p w14:paraId="355D4EC5" w14:textId="77777777" w:rsidR="00571E74" w:rsidRDefault="000B66AD" w:rsidP="00AD61B3">
            <w:pPr>
              <w:ind w:left="317"/>
              <w:jc w:val="both"/>
            </w:pPr>
            <w:r>
              <w:t>le nom et les coordonnées du titulaire ainsi que le</w:t>
            </w:r>
            <w:r w:rsidR="002E3467">
              <w:t xml:space="preserve"> numéro de la licence;</w:t>
            </w:r>
          </w:p>
        </w:tc>
        <w:sdt>
          <w:sdtPr>
            <w:rPr>
              <w:rFonts w:ascii="Verdana" w:hAnsi="Verdana"/>
              <w:sz w:val="16"/>
              <w:szCs w:val="16"/>
            </w:rPr>
            <w:id w:val="-551307215"/>
            <w14:checkbox>
              <w14:checked w14:val="0"/>
              <w14:checkedState w14:val="2612" w14:font="MS Gothic"/>
              <w14:uncheckedState w14:val="2610" w14:font="MS Gothic"/>
            </w14:checkbox>
          </w:sdtPr>
          <w:sdtEndPr/>
          <w:sdtContent>
            <w:tc>
              <w:tcPr>
                <w:tcW w:w="1281" w:type="dxa"/>
              </w:tcPr>
              <w:p w14:paraId="355D4EC6" w14:textId="77777777" w:rsidR="00571E74" w:rsidRDefault="000B66AD" w:rsidP="00AD61B3">
                <w:pPr>
                  <w:jc w:val="center"/>
                </w:pPr>
                <w:r>
                  <w:rPr>
                    <w:rFonts w:ascii="MS Gothic" w:eastAsia="MS Gothic" w:hAnsi="MS Gothic" w:hint="eastAsia"/>
                    <w:sz w:val="16"/>
                    <w:szCs w:val="16"/>
                  </w:rPr>
                  <w:t>☐</w:t>
                </w:r>
              </w:p>
            </w:tc>
          </w:sdtContent>
        </w:sdt>
      </w:tr>
      <w:tr w:rsidR="002E3467" w14:paraId="355D4ECB" w14:textId="77777777" w:rsidTr="00D5243A">
        <w:tc>
          <w:tcPr>
            <w:tcW w:w="1141" w:type="dxa"/>
            <w:tcBorders>
              <w:bottom w:val="single" w:sz="4" w:space="0" w:color="auto"/>
            </w:tcBorders>
          </w:tcPr>
          <w:p w14:paraId="355D4EC8" w14:textId="77777777" w:rsidR="00AD61B3" w:rsidRDefault="002E3467" w:rsidP="00571E74">
            <w:r>
              <w:t xml:space="preserve">121 </w:t>
            </w:r>
            <w:r w:rsidR="00D5243A">
              <w:t>(</w:t>
            </w:r>
            <w:r>
              <w:t>2°</w:t>
            </w:r>
            <w:r w:rsidR="00D5243A">
              <w:t>)</w:t>
            </w:r>
          </w:p>
        </w:tc>
        <w:tc>
          <w:tcPr>
            <w:tcW w:w="6361" w:type="dxa"/>
            <w:tcBorders>
              <w:bottom w:val="single" w:sz="4" w:space="0" w:color="auto"/>
            </w:tcBorders>
          </w:tcPr>
          <w:p w14:paraId="355D4EC9" w14:textId="62236D6D" w:rsidR="002E3467" w:rsidRDefault="002E3467" w:rsidP="00AD61B3">
            <w:pPr>
              <w:ind w:left="317"/>
              <w:jc w:val="both"/>
            </w:pPr>
            <w:r>
              <w:t>le nom du puits</w:t>
            </w:r>
            <w:r w:rsidR="008E69C1">
              <w:t xml:space="preserve"> projeté ou le nom du puits existant</w:t>
            </w:r>
            <w:r w:rsidR="003A211E">
              <w:t>.</w:t>
            </w:r>
          </w:p>
        </w:tc>
        <w:sdt>
          <w:sdtPr>
            <w:rPr>
              <w:rFonts w:ascii="Verdana" w:hAnsi="Verdana"/>
              <w:sz w:val="16"/>
              <w:szCs w:val="16"/>
            </w:rPr>
            <w:id w:val="-544130877"/>
            <w14:checkbox>
              <w14:checked w14:val="0"/>
              <w14:checkedState w14:val="2612" w14:font="MS Gothic"/>
              <w14:uncheckedState w14:val="2610" w14:font="MS Gothic"/>
            </w14:checkbox>
          </w:sdtPr>
          <w:sdtEndPr/>
          <w:sdtContent>
            <w:tc>
              <w:tcPr>
                <w:tcW w:w="1281" w:type="dxa"/>
                <w:tcBorders>
                  <w:bottom w:val="single" w:sz="4" w:space="0" w:color="auto"/>
                </w:tcBorders>
              </w:tcPr>
              <w:p w14:paraId="355D4ECA" w14:textId="77777777" w:rsidR="002E3467" w:rsidRDefault="002E3467" w:rsidP="00AD61B3">
                <w:pPr>
                  <w:jc w:val="center"/>
                  <w:rPr>
                    <w:rFonts w:ascii="Verdana" w:hAnsi="Verdana"/>
                    <w:sz w:val="16"/>
                    <w:szCs w:val="16"/>
                  </w:rPr>
                </w:pPr>
                <w:r>
                  <w:rPr>
                    <w:rFonts w:ascii="MS Gothic" w:eastAsia="MS Gothic" w:hAnsi="MS Gothic" w:hint="eastAsia"/>
                    <w:sz w:val="16"/>
                    <w:szCs w:val="16"/>
                  </w:rPr>
                  <w:t>☐</w:t>
                </w:r>
              </w:p>
            </w:tc>
          </w:sdtContent>
        </w:sdt>
      </w:tr>
      <w:tr w:rsidR="004A1CB2" w14:paraId="355D4ECE" w14:textId="77777777" w:rsidTr="00D5243A">
        <w:tc>
          <w:tcPr>
            <w:tcW w:w="1141" w:type="dxa"/>
            <w:tcBorders>
              <w:top w:val="nil"/>
            </w:tcBorders>
          </w:tcPr>
          <w:p w14:paraId="355D4ECC" w14:textId="77777777" w:rsidR="004A1CB2" w:rsidRDefault="004A1CB2" w:rsidP="00571E74">
            <w:r>
              <w:t>122</w:t>
            </w:r>
          </w:p>
        </w:tc>
        <w:tc>
          <w:tcPr>
            <w:tcW w:w="7642" w:type="dxa"/>
            <w:gridSpan w:val="2"/>
            <w:tcBorders>
              <w:top w:val="nil"/>
            </w:tcBorders>
          </w:tcPr>
          <w:p w14:paraId="355D4ECD" w14:textId="77777777" w:rsidR="004A1CB2" w:rsidRDefault="004A1CB2" w:rsidP="004A1CB2">
            <w:pPr>
              <w:jc w:val="both"/>
            </w:pPr>
            <w:r>
              <w:t>La demande doit être accompagnée :</w:t>
            </w:r>
          </w:p>
        </w:tc>
      </w:tr>
      <w:tr w:rsidR="00AD61B3" w14:paraId="355D4ED5" w14:textId="77777777" w:rsidTr="00D5243A">
        <w:tc>
          <w:tcPr>
            <w:tcW w:w="1141" w:type="dxa"/>
            <w:tcBorders>
              <w:top w:val="nil"/>
            </w:tcBorders>
          </w:tcPr>
          <w:p w14:paraId="355D4ECF" w14:textId="77777777" w:rsidR="00AD61B3" w:rsidRDefault="00AD61B3" w:rsidP="00AD61B3">
            <w:r>
              <w:t xml:space="preserve">122 </w:t>
            </w:r>
            <w:r w:rsidR="00D5243A">
              <w:t>(</w:t>
            </w:r>
            <w:r>
              <w:t>2°</w:t>
            </w:r>
            <w:r w:rsidR="00D5243A">
              <w:t>)</w:t>
            </w:r>
          </w:p>
        </w:tc>
        <w:tc>
          <w:tcPr>
            <w:tcW w:w="6361" w:type="dxa"/>
            <w:tcBorders>
              <w:top w:val="nil"/>
            </w:tcBorders>
          </w:tcPr>
          <w:p w14:paraId="355D4ED0" w14:textId="77777777" w:rsidR="00AD61B3" w:rsidRDefault="00AD61B3" w:rsidP="00AD61B3">
            <w:pPr>
              <w:ind w:left="317"/>
              <w:jc w:val="both"/>
            </w:pPr>
            <w:r>
              <w:t>d’une carte topographique à l’échelle 1 : 20 000 illustrant notamment :</w:t>
            </w:r>
          </w:p>
          <w:p w14:paraId="355D4ED1" w14:textId="77777777" w:rsidR="00AD61B3" w:rsidRDefault="00AD61B3" w:rsidP="00AD61B3">
            <w:pPr>
              <w:ind w:left="742"/>
              <w:jc w:val="both"/>
            </w:pPr>
            <w:r w:rsidRPr="00A809D5">
              <w:rPr>
                <w:i/>
              </w:rPr>
              <w:t>a)</w:t>
            </w:r>
            <w:r>
              <w:t xml:space="preserve"> la projection en surface du profil du trou jusqu’à la localisation du fond du trou;</w:t>
            </w:r>
          </w:p>
          <w:p w14:paraId="355D4ED2" w14:textId="77777777" w:rsidR="00AD61B3" w:rsidRDefault="00AD61B3" w:rsidP="00AD61B3">
            <w:pPr>
              <w:ind w:left="742"/>
              <w:jc w:val="both"/>
            </w:pPr>
            <w:r w:rsidRPr="00A809D5">
              <w:rPr>
                <w:i/>
              </w:rPr>
              <w:t>b)</w:t>
            </w:r>
            <w:r>
              <w:t xml:space="preserve"> la localisation des trous de forage existants dans un</w:t>
            </w:r>
          </w:p>
          <w:p w14:paraId="355D4ED3" w14:textId="02B34404" w:rsidR="00AD61B3" w:rsidRDefault="003A211E" w:rsidP="00AD61B3">
            <w:pPr>
              <w:ind w:left="742"/>
              <w:jc w:val="both"/>
            </w:pPr>
            <w:r>
              <w:t>rayon de 5 km</w:t>
            </w:r>
            <w:r w:rsidR="00A60A7A">
              <w:t>;</w:t>
            </w:r>
          </w:p>
        </w:tc>
        <w:sdt>
          <w:sdtPr>
            <w:rPr>
              <w:rFonts w:ascii="Verdana" w:hAnsi="Verdana"/>
              <w:sz w:val="16"/>
              <w:szCs w:val="16"/>
            </w:rPr>
            <w:id w:val="-915701790"/>
            <w14:checkbox>
              <w14:checked w14:val="0"/>
              <w14:checkedState w14:val="2612" w14:font="MS Gothic"/>
              <w14:uncheckedState w14:val="2610" w14:font="MS Gothic"/>
            </w14:checkbox>
          </w:sdtPr>
          <w:sdtEndPr/>
          <w:sdtContent>
            <w:tc>
              <w:tcPr>
                <w:tcW w:w="1281" w:type="dxa"/>
                <w:tcBorders>
                  <w:top w:val="nil"/>
                </w:tcBorders>
              </w:tcPr>
              <w:p w14:paraId="355D4ED4" w14:textId="77777777" w:rsidR="00AD61B3" w:rsidRDefault="00AD61B3" w:rsidP="00AD61B3">
                <w:pPr>
                  <w:jc w:val="center"/>
                </w:pPr>
                <w:r>
                  <w:rPr>
                    <w:rFonts w:ascii="MS Gothic" w:eastAsia="MS Gothic" w:hAnsi="MS Gothic" w:hint="eastAsia"/>
                    <w:sz w:val="16"/>
                    <w:szCs w:val="16"/>
                  </w:rPr>
                  <w:t>☐</w:t>
                </w:r>
              </w:p>
            </w:tc>
          </w:sdtContent>
        </w:sdt>
      </w:tr>
      <w:tr w:rsidR="00AD61B3" w14:paraId="355D4ED9" w14:textId="77777777" w:rsidTr="00D5243A">
        <w:tc>
          <w:tcPr>
            <w:tcW w:w="1141" w:type="dxa"/>
            <w:tcBorders>
              <w:top w:val="nil"/>
            </w:tcBorders>
          </w:tcPr>
          <w:p w14:paraId="355D4ED6" w14:textId="77777777" w:rsidR="00AD61B3" w:rsidRDefault="00AD61B3" w:rsidP="00AD61B3">
            <w:r>
              <w:t xml:space="preserve">122 </w:t>
            </w:r>
            <w:r w:rsidR="00D5243A">
              <w:t>(</w:t>
            </w:r>
            <w:r>
              <w:t>3°</w:t>
            </w:r>
            <w:r w:rsidR="00D5243A">
              <w:t>)</w:t>
            </w:r>
          </w:p>
        </w:tc>
        <w:tc>
          <w:tcPr>
            <w:tcW w:w="6361" w:type="dxa"/>
            <w:tcBorders>
              <w:top w:val="nil"/>
            </w:tcBorders>
          </w:tcPr>
          <w:p w14:paraId="355D4ED7" w14:textId="77777777" w:rsidR="00AD61B3" w:rsidRDefault="00AD61B3" w:rsidP="00AD61B3">
            <w:pPr>
              <w:ind w:left="317"/>
              <w:jc w:val="both"/>
            </w:pPr>
            <w:r>
              <w:t>du programme technique de forage prévu à l’article 123;</w:t>
            </w:r>
          </w:p>
        </w:tc>
        <w:sdt>
          <w:sdtPr>
            <w:rPr>
              <w:rFonts w:ascii="Verdana" w:hAnsi="Verdana"/>
              <w:sz w:val="16"/>
              <w:szCs w:val="16"/>
            </w:rPr>
            <w:id w:val="-664474871"/>
            <w14:checkbox>
              <w14:checked w14:val="0"/>
              <w14:checkedState w14:val="2612" w14:font="MS Gothic"/>
              <w14:uncheckedState w14:val="2610" w14:font="MS Gothic"/>
            </w14:checkbox>
          </w:sdtPr>
          <w:sdtEndPr/>
          <w:sdtContent>
            <w:tc>
              <w:tcPr>
                <w:tcW w:w="1281" w:type="dxa"/>
                <w:tcBorders>
                  <w:top w:val="nil"/>
                </w:tcBorders>
              </w:tcPr>
              <w:p w14:paraId="355D4ED8" w14:textId="77777777" w:rsidR="00AD61B3" w:rsidRDefault="00AD61B3" w:rsidP="00AD61B3">
                <w:pPr>
                  <w:jc w:val="center"/>
                </w:pPr>
                <w:r>
                  <w:rPr>
                    <w:rFonts w:ascii="MS Gothic" w:eastAsia="MS Gothic" w:hAnsi="MS Gothic" w:hint="eastAsia"/>
                    <w:sz w:val="16"/>
                    <w:szCs w:val="16"/>
                  </w:rPr>
                  <w:t>☐</w:t>
                </w:r>
              </w:p>
            </w:tc>
          </w:sdtContent>
        </w:sdt>
      </w:tr>
      <w:tr w:rsidR="00AD61B3" w14:paraId="355D4EDD" w14:textId="77777777" w:rsidTr="00D5243A">
        <w:tc>
          <w:tcPr>
            <w:tcW w:w="1141" w:type="dxa"/>
            <w:tcBorders>
              <w:top w:val="nil"/>
            </w:tcBorders>
          </w:tcPr>
          <w:p w14:paraId="355D4EDA" w14:textId="77777777" w:rsidR="00AD61B3" w:rsidRDefault="00AD61B3" w:rsidP="00AD61B3">
            <w:r>
              <w:t xml:space="preserve">122 </w:t>
            </w:r>
            <w:r w:rsidR="00D5243A">
              <w:t>(</w:t>
            </w:r>
            <w:r>
              <w:t>4°</w:t>
            </w:r>
            <w:r w:rsidR="00D5243A">
              <w:t>)</w:t>
            </w:r>
          </w:p>
        </w:tc>
        <w:tc>
          <w:tcPr>
            <w:tcW w:w="6361" w:type="dxa"/>
            <w:tcBorders>
              <w:top w:val="nil"/>
            </w:tcBorders>
          </w:tcPr>
          <w:p w14:paraId="355D4EDB" w14:textId="77777777" w:rsidR="00AD61B3" w:rsidRDefault="00AD61B3" w:rsidP="00AD61B3">
            <w:pPr>
              <w:ind w:left="317"/>
              <w:jc w:val="both"/>
            </w:pPr>
            <w:r w:rsidRPr="001F72F9">
              <w:t>du plan de fermeture définitive de puits ou de réservoir</w:t>
            </w:r>
            <w:r>
              <w:t xml:space="preserve"> </w:t>
            </w:r>
            <w:r w:rsidRPr="001F72F9">
              <w:t>et de restauration de site ou, le cas échéant, de sa mise</w:t>
            </w:r>
            <w:r>
              <w:t xml:space="preserve"> </w:t>
            </w:r>
            <w:r w:rsidRPr="001F72F9">
              <w:t xml:space="preserve">à jour, et de </w:t>
            </w:r>
            <w:r w:rsidR="004A1CB2">
              <w:t>la garantie prévus aux articles </w:t>
            </w:r>
            <w:r w:rsidRPr="001F72F9">
              <w:t>315 et 317;</w:t>
            </w:r>
          </w:p>
        </w:tc>
        <w:sdt>
          <w:sdtPr>
            <w:rPr>
              <w:rFonts w:ascii="Verdana" w:hAnsi="Verdana"/>
              <w:sz w:val="16"/>
              <w:szCs w:val="16"/>
            </w:rPr>
            <w:id w:val="1064453305"/>
            <w14:checkbox>
              <w14:checked w14:val="0"/>
              <w14:checkedState w14:val="2612" w14:font="MS Gothic"/>
              <w14:uncheckedState w14:val="2610" w14:font="MS Gothic"/>
            </w14:checkbox>
          </w:sdtPr>
          <w:sdtEndPr/>
          <w:sdtContent>
            <w:tc>
              <w:tcPr>
                <w:tcW w:w="1281" w:type="dxa"/>
                <w:tcBorders>
                  <w:top w:val="nil"/>
                </w:tcBorders>
              </w:tcPr>
              <w:p w14:paraId="355D4EDC" w14:textId="77777777" w:rsidR="00AD61B3" w:rsidRDefault="00AD61B3" w:rsidP="00AD61B3">
                <w:pPr>
                  <w:jc w:val="center"/>
                </w:pPr>
                <w:r>
                  <w:rPr>
                    <w:rFonts w:ascii="MS Gothic" w:eastAsia="MS Gothic" w:hAnsi="MS Gothic" w:hint="eastAsia"/>
                    <w:sz w:val="16"/>
                    <w:szCs w:val="16"/>
                  </w:rPr>
                  <w:t>☐</w:t>
                </w:r>
              </w:p>
            </w:tc>
          </w:sdtContent>
        </w:sdt>
      </w:tr>
      <w:tr w:rsidR="00AD61B3" w14:paraId="355D4EE1" w14:textId="77777777" w:rsidTr="00D5243A">
        <w:tc>
          <w:tcPr>
            <w:tcW w:w="1141" w:type="dxa"/>
            <w:tcBorders>
              <w:top w:val="nil"/>
            </w:tcBorders>
          </w:tcPr>
          <w:p w14:paraId="355D4EDE" w14:textId="77777777" w:rsidR="00AD61B3" w:rsidRDefault="00AD61B3" w:rsidP="00AD61B3">
            <w:r>
              <w:t xml:space="preserve">122 </w:t>
            </w:r>
            <w:r w:rsidR="00D5243A">
              <w:t>(</w:t>
            </w:r>
            <w:r>
              <w:t>5°</w:t>
            </w:r>
            <w:r w:rsidR="00D5243A">
              <w:t>)</w:t>
            </w:r>
          </w:p>
        </w:tc>
        <w:tc>
          <w:tcPr>
            <w:tcW w:w="6361" w:type="dxa"/>
            <w:tcBorders>
              <w:top w:val="nil"/>
            </w:tcBorders>
          </w:tcPr>
          <w:p w14:paraId="355D4EDF" w14:textId="77777777" w:rsidR="00AD61B3" w:rsidRDefault="00AD61B3" w:rsidP="00AD61B3">
            <w:pPr>
              <w:ind w:left="317"/>
              <w:jc w:val="both"/>
            </w:pPr>
            <w:r>
              <w:t>du paiement des droits de 4 426 $;</w:t>
            </w:r>
          </w:p>
        </w:tc>
        <w:sdt>
          <w:sdtPr>
            <w:rPr>
              <w:rFonts w:ascii="Verdana" w:hAnsi="Verdana"/>
              <w:sz w:val="16"/>
              <w:szCs w:val="16"/>
            </w:rPr>
            <w:id w:val="-393505381"/>
            <w14:checkbox>
              <w14:checked w14:val="0"/>
              <w14:checkedState w14:val="2612" w14:font="MS Gothic"/>
              <w14:uncheckedState w14:val="2610" w14:font="MS Gothic"/>
            </w14:checkbox>
          </w:sdtPr>
          <w:sdtEndPr/>
          <w:sdtContent>
            <w:tc>
              <w:tcPr>
                <w:tcW w:w="1281" w:type="dxa"/>
                <w:tcBorders>
                  <w:top w:val="nil"/>
                </w:tcBorders>
              </w:tcPr>
              <w:p w14:paraId="355D4EE0" w14:textId="77777777" w:rsidR="00AD61B3" w:rsidRDefault="004A1CB2" w:rsidP="00AD61B3">
                <w:pPr>
                  <w:jc w:val="center"/>
                </w:pPr>
                <w:r>
                  <w:rPr>
                    <w:rFonts w:ascii="MS Gothic" w:eastAsia="MS Gothic" w:hAnsi="MS Gothic" w:hint="eastAsia"/>
                    <w:sz w:val="16"/>
                    <w:szCs w:val="16"/>
                  </w:rPr>
                  <w:t>☐</w:t>
                </w:r>
              </w:p>
            </w:tc>
          </w:sdtContent>
        </w:sdt>
      </w:tr>
      <w:tr w:rsidR="004A1CB2" w14:paraId="355D4EE5" w14:textId="77777777" w:rsidTr="00D5243A">
        <w:tc>
          <w:tcPr>
            <w:tcW w:w="1141" w:type="dxa"/>
            <w:tcBorders>
              <w:top w:val="nil"/>
            </w:tcBorders>
          </w:tcPr>
          <w:p w14:paraId="355D4EE2" w14:textId="77777777" w:rsidR="004A1CB2" w:rsidRDefault="004A1CB2" w:rsidP="004A1CB2">
            <w:r>
              <w:lastRenderedPageBreak/>
              <w:t xml:space="preserve">122 </w:t>
            </w:r>
            <w:r w:rsidR="00D5243A">
              <w:t>(</w:t>
            </w:r>
            <w:r>
              <w:t>6°</w:t>
            </w:r>
            <w:r w:rsidR="00D5243A">
              <w:t>)</w:t>
            </w:r>
          </w:p>
        </w:tc>
        <w:tc>
          <w:tcPr>
            <w:tcW w:w="6361" w:type="dxa"/>
            <w:tcBorders>
              <w:top w:val="nil"/>
            </w:tcBorders>
          </w:tcPr>
          <w:p w14:paraId="355D4EE3" w14:textId="77777777" w:rsidR="004A1CB2" w:rsidRDefault="004A1CB2" w:rsidP="004A1CB2">
            <w:pPr>
              <w:ind w:left="317"/>
              <w:jc w:val="both"/>
            </w:pPr>
            <w:r>
              <w:t>de tout autre renseignement ou document jugé nécessaire par le ministre.</w:t>
            </w:r>
          </w:p>
        </w:tc>
        <w:sdt>
          <w:sdtPr>
            <w:rPr>
              <w:rFonts w:ascii="Verdana" w:hAnsi="Verdana"/>
              <w:sz w:val="16"/>
              <w:szCs w:val="16"/>
            </w:rPr>
            <w:id w:val="-846321298"/>
            <w14:checkbox>
              <w14:checked w14:val="0"/>
              <w14:checkedState w14:val="2612" w14:font="MS Gothic"/>
              <w14:uncheckedState w14:val="2610" w14:font="MS Gothic"/>
            </w14:checkbox>
          </w:sdtPr>
          <w:sdtEndPr/>
          <w:sdtContent>
            <w:tc>
              <w:tcPr>
                <w:tcW w:w="1281" w:type="dxa"/>
                <w:tcBorders>
                  <w:top w:val="nil"/>
                </w:tcBorders>
              </w:tcPr>
              <w:p w14:paraId="355D4EE4" w14:textId="77777777" w:rsidR="004A1CB2" w:rsidRDefault="004A1CB2" w:rsidP="004A1CB2">
                <w:pPr>
                  <w:jc w:val="center"/>
                </w:pPr>
                <w:r>
                  <w:rPr>
                    <w:rFonts w:ascii="MS Gothic" w:eastAsia="MS Gothic" w:hAnsi="MS Gothic" w:hint="eastAsia"/>
                    <w:sz w:val="16"/>
                    <w:szCs w:val="16"/>
                  </w:rPr>
                  <w:t>☐</w:t>
                </w:r>
              </w:p>
            </w:tc>
          </w:sdtContent>
        </w:sdt>
      </w:tr>
      <w:tr w:rsidR="004A1CB2" w14:paraId="355D4EE8" w14:textId="77777777" w:rsidTr="00D5243A">
        <w:tc>
          <w:tcPr>
            <w:tcW w:w="1141" w:type="dxa"/>
            <w:tcBorders>
              <w:top w:val="nil"/>
            </w:tcBorders>
          </w:tcPr>
          <w:p w14:paraId="355D4EE6" w14:textId="77777777" w:rsidR="004A1CB2" w:rsidRDefault="004A1CB2" w:rsidP="004A1CB2">
            <w:r>
              <w:t>123.</w:t>
            </w:r>
          </w:p>
        </w:tc>
        <w:tc>
          <w:tcPr>
            <w:tcW w:w="7642" w:type="dxa"/>
            <w:gridSpan w:val="2"/>
            <w:tcBorders>
              <w:top w:val="nil"/>
            </w:tcBorders>
          </w:tcPr>
          <w:p w14:paraId="355D4EE7" w14:textId="77777777" w:rsidR="004A1CB2" w:rsidRDefault="004A1CB2" w:rsidP="004A1CB2">
            <w:pPr>
              <w:jc w:val="both"/>
              <w:rPr>
                <w:rFonts w:ascii="Verdana" w:hAnsi="Verdana"/>
                <w:sz w:val="16"/>
                <w:szCs w:val="16"/>
              </w:rPr>
            </w:pPr>
            <w:r>
              <w:t>Le programme technique de forage doit contenir les éléments suivants :</w:t>
            </w:r>
          </w:p>
        </w:tc>
      </w:tr>
      <w:tr w:rsidR="004A1CB2" w14:paraId="355D4EEC" w14:textId="77777777" w:rsidTr="00D5243A">
        <w:tc>
          <w:tcPr>
            <w:tcW w:w="1141" w:type="dxa"/>
            <w:tcBorders>
              <w:top w:val="nil"/>
            </w:tcBorders>
          </w:tcPr>
          <w:p w14:paraId="355D4EE9" w14:textId="77777777" w:rsidR="004A1CB2" w:rsidRDefault="004A1CB2" w:rsidP="004A1CB2">
            <w:r>
              <w:t xml:space="preserve">123 </w:t>
            </w:r>
            <w:r w:rsidR="00D5243A">
              <w:t>(</w:t>
            </w:r>
            <w:r>
              <w:t>2°</w:t>
            </w:r>
            <w:r w:rsidR="00D5243A">
              <w:t>)</w:t>
            </w:r>
          </w:p>
        </w:tc>
        <w:tc>
          <w:tcPr>
            <w:tcW w:w="6361" w:type="dxa"/>
            <w:tcBorders>
              <w:top w:val="nil"/>
            </w:tcBorders>
          </w:tcPr>
          <w:p w14:paraId="355D4EEA" w14:textId="77777777" w:rsidR="004A1CB2" w:rsidRDefault="004A1CB2" w:rsidP="004A1CB2">
            <w:pPr>
              <w:ind w:left="317"/>
              <w:jc w:val="both"/>
            </w:pPr>
            <w:r>
              <w:t>le nom, la profession ainsi que la fonction des personnes ayant réalisé ou révisé le programme;</w:t>
            </w:r>
          </w:p>
        </w:tc>
        <w:sdt>
          <w:sdtPr>
            <w:rPr>
              <w:rFonts w:ascii="Verdana" w:hAnsi="Verdana"/>
              <w:sz w:val="16"/>
              <w:szCs w:val="16"/>
            </w:rPr>
            <w:id w:val="-926268990"/>
            <w14:checkbox>
              <w14:checked w14:val="0"/>
              <w14:checkedState w14:val="2612" w14:font="MS Gothic"/>
              <w14:uncheckedState w14:val="2610" w14:font="MS Gothic"/>
            </w14:checkbox>
          </w:sdtPr>
          <w:sdtEndPr/>
          <w:sdtContent>
            <w:tc>
              <w:tcPr>
                <w:tcW w:w="1281" w:type="dxa"/>
                <w:tcBorders>
                  <w:top w:val="nil"/>
                </w:tcBorders>
              </w:tcPr>
              <w:p w14:paraId="355D4EEB" w14:textId="77777777" w:rsidR="004A1CB2" w:rsidRDefault="004A1CB2" w:rsidP="004A1CB2">
                <w:pPr>
                  <w:jc w:val="center"/>
                </w:pPr>
                <w:r>
                  <w:rPr>
                    <w:rFonts w:ascii="MS Gothic" w:eastAsia="MS Gothic" w:hAnsi="MS Gothic" w:hint="eastAsia"/>
                    <w:sz w:val="16"/>
                    <w:szCs w:val="16"/>
                  </w:rPr>
                  <w:t>☐</w:t>
                </w:r>
              </w:p>
            </w:tc>
          </w:sdtContent>
        </w:sdt>
      </w:tr>
      <w:tr w:rsidR="004A1CB2" w14:paraId="355D4EF0" w14:textId="77777777" w:rsidTr="00D5243A">
        <w:tc>
          <w:tcPr>
            <w:tcW w:w="1141" w:type="dxa"/>
            <w:tcBorders>
              <w:top w:val="nil"/>
            </w:tcBorders>
          </w:tcPr>
          <w:p w14:paraId="355D4EED" w14:textId="77777777" w:rsidR="004A1CB2" w:rsidRDefault="004A1CB2" w:rsidP="004A1CB2">
            <w:r>
              <w:t xml:space="preserve">123 </w:t>
            </w:r>
            <w:r w:rsidR="00D5243A">
              <w:t>(</w:t>
            </w:r>
            <w:r>
              <w:t>6°</w:t>
            </w:r>
            <w:r w:rsidR="00D5243A">
              <w:t>)</w:t>
            </w:r>
          </w:p>
        </w:tc>
        <w:tc>
          <w:tcPr>
            <w:tcW w:w="6361" w:type="dxa"/>
            <w:tcBorders>
              <w:top w:val="nil"/>
            </w:tcBorders>
          </w:tcPr>
          <w:p w14:paraId="355D4EEE" w14:textId="77777777" w:rsidR="004A1CB2" w:rsidRDefault="004A1CB2" w:rsidP="004A1CB2">
            <w:pPr>
              <w:ind w:left="317"/>
              <w:jc w:val="both"/>
            </w:pPr>
            <w:r>
              <w:t>la classification projetée du puits, déterminée selon l’annexe 1;</w:t>
            </w:r>
          </w:p>
        </w:tc>
        <w:sdt>
          <w:sdtPr>
            <w:rPr>
              <w:rFonts w:ascii="Verdana" w:hAnsi="Verdana"/>
              <w:sz w:val="16"/>
              <w:szCs w:val="16"/>
            </w:rPr>
            <w:id w:val="1760717457"/>
            <w14:checkbox>
              <w14:checked w14:val="0"/>
              <w14:checkedState w14:val="2612" w14:font="MS Gothic"/>
              <w14:uncheckedState w14:val="2610" w14:font="MS Gothic"/>
            </w14:checkbox>
          </w:sdtPr>
          <w:sdtEndPr/>
          <w:sdtContent>
            <w:tc>
              <w:tcPr>
                <w:tcW w:w="1281" w:type="dxa"/>
                <w:tcBorders>
                  <w:top w:val="nil"/>
                </w:tcBorders>
              </w:tcPr>
              <w:p w14:paraId="355D4EEF" w14:textId="77777777" w:rsidR="004A1CB2" w:rsidRDefault="004A1CB2" w:rsidP="004A1CB2">
                <w:pPr>
                  <w:jc w:val="center"/>
                </w:pPr>
                <w:r>
                  <w:rPr>
                    <w:rFonts w:ascii="MS Gothic" w:eastAsia="MS Gothic" w:hAnsi="MS Gothic" w:hint="eastAsia"/>
                    <w:sz w:val="16"/>
                    <w:szCs w:val="16"/>
                  </w:rPr>
                  <w:t>☐</w:t>
                </w:r>
              </w:p>
            </w:tc>
          </w:sdtContent>
        </w:sdt>
      </w:tr>
      <w:tr w:rsidR="004A1CB2" w14:paraId="355D4EF4" w14:textId="77777777" w:rsidTr="00D5243A">
        <w:tc>
          <w:tcPr>
            <w:tcW w:w="1141" w:type="dxa"/>
            <w:tcBorders>
              <w:top w:val="nil"/>
            </w:tcBorders>
          </w:tcPr>
          <w:p w14:paraId="355D4EF1" w14:textId="77777777" w:rsidR="004A1CB2" w:rsidRDefault="004A1CB2" w:rsidP="004A1CB2">
            <w:r>
              <w:t xml:space="preserve">123 </w:t>
            </w:r>
            <w:r w:rsidR="00D5243A">
              <w:t>(</w:t>
            </w:r>
            <w:r>
              <w:t>7°</w:t>
            </w:r>
            <w:r w:rsidR="00D5243A">
              <w:t>)</w:t>
            </w:r>
          </w:p>
        </w:tc>
        <w:tc>
          <w:tcPr>
            <w:tcW w:w="6361" w:type="dxa"/>
            <w:tcBorders>
              <w:top w:val="nil"/>
            </w:tcBorders>
          </w:tcPr>
          <w:p w14:paraId="355D4EF2" w14:textId="77777777" w:rsidR="004A1CB2" w:rsidRDefault="004A1CB2" w:rsidP="004A1CB2">
            <w:pPr>
              <w:ind w:left="317"/>
              <w:jc w:val="both"/>
            </w:pPr>
            <w:r>
              <w:t>la description chronologique des travaux qui seront effectués;</w:t>
            </w:r>
          </w:p>
        </w:tc>
        <w:sdt>
          <w:sdtPr>
            <w:rPr>
              <w:rFonts w:ascii="Verdana" w:hAnsi="Verdana"/>
              <w:sz w:val="16"/>
              <w:szCs w:val="16"/>
            </w:rPr>
            <w:id w:val="547034579"/>
            <w14:checkbox>
              <w14:checked w14:val="0"/>
              <w14:checkedState w14:val="2612" w14:font="MS Gothic"/>
              <w14:uncheckedState w14:val="2610" w14:font="MS Gothic"/>
            </w14:checkbox>
          </w:sdtPr>
          <w:sdtEndPr/>
          <w:sdtContent>
            <w:tc>
              <w:tcPr>
                <w:tcW w:w="1281" w:type="dxa"/>
                <w:tcBorders>
                  <w:top w:val="nil"/>
                </w:tcBorders>
              </w:tcPr>
              <w:p w14:paraId="355D4EF3" w14:textId="77777777" w:rsidR="004A1CB2" w:rsidRDefault="004A1CB2" w:rsidP="004A1CB2">
                <w:pPr>
                  <w:jc w:val="center"/>
                </w:pPr>
                <w:r>
                  <w:rPr>
                    <w:rFonts w:ascii="MS Gothic" w:eastAsia="MS Gothic" w:hAnsi="MS Gothic" w:hint="eastAsia"/>
                    <w:sz w:val="16"/>
                    <w:szCs w:val="16"/>
                  </w:rPr>
                  <w:t>☐</w:t>
                </w:r>
              </w:p>
            </w:tc>
          </w:sdtContent>
        </w:sdt>
      </w:tr>
      <w:tr w:rsidR="004A1CB2" w14:paraId="355D4EF8" w14:textId="77777777" w:rsidTr="00D5243A">
        <w:tc>
          <w:tcPr>
            <w:tcW w:w="1141" w:type="dxa"/>
            <w:tcBorders>
              <w:top w:val="nil"/>
            </w:tcBorders>
          </w:tcPr>
          <w:p w14:paraId="355D4EF5" w14:textId="77777777" w:rsidR="004A1CB2" w:rsidRDefault="004A1CB2" w:rsidP="004A1CB2">
            <w:r>
              <w:t xml:space="preserve">123 </w:t>
            </w:r>
            <w:r w:rsidR="00D5243A">
              <w:t>(</w:t>
            </w:r>
            <w:r>
              <w:t>8°</w:t>
            </w:r>
            <w:r w:rsidR="00D5243A">
              <w:t>)</w:t>
            </w:r>
          </w:p>
        </w:tc>
        <w:tc>
          <w:tcPr>
            <w:tcW w:w="6361" w:type="dxa"/>
            <w:tcBorders>
              <w:top w:val="nil"/>
            </w:tcBorders>
          </w:tcPr>
          <w:p w14:paraId="355D4EF6" w14:textId="77777777" w:rsidR="004A1CB2" w:rsidRDefault="004A1CB2" w:rsidP="004A1CB2">
            <w:pPr>
              <w:ind w:left="317"/>
              <w:jc w:val="both"/>
            </w:pPr>
            <w:r>
              <w:t>le nom et les coordonnées des entreprises chargées de réaliser les travaux;</w:t>
            </w:r>
          </w:p>
        </w:tc>
        <w:sdt>
          <w:sdtPr>
            <w:rPr>
              <w:rFonts w:ascii="Verdana" w:hAnsi="Verdana"/>
              <w:sz w:val="16"/>
              <w:szCs w:val="16"/>
            </w:rPr>
            <w:id w:val="1446808189"/>
            <w14:checkbox>
              <w14:checked w14:val="0"/>
              <w14:checkedState w14:val="2612" w14:font="MS Gothic"/>
              <w14:uncheckedState w14:val="2610" w14:font="MS Gothic"/>
            </w14:checkbox>
          </w:sdtPr>
          <w:sdtEndPr/>
          <w:sdtContent>
            <w:tc>
              <w:tcPr>
                <w:tcW w:w="1281" w:type="dxa"/>
                <w:tcBorders>
                  <w:top w:val="nil"/>
                </w:tcBorders>
              </w:tcPr>
              <w:p w14:paraId="355D4EF7" w14:textId="77777777" w:rsidR="004A1CB2" w:rsidRDefault="004A1CB2" w:rsidP="004A1CB2">
                <w:pPr>
                  <w:jc w:val="center"/>
                </w:pPr>
                <w:r>
                  <w:rPr>
                    <w:rFonts w:ascii="MS Gothic" w:eastAsia="MS Gothic" w:hAnsi="MS Gothic" w:hint="eastAsia"/>
                    <w:sz w:val="16"/>
                    <w:szCs w:val="16"/>
                  </w:rPr>
                  <w:t>☐</w:t>
                </w:r>
              </w:p>
            </w:tc>
          </w:sdtContent>
        </w:sdt>
      </w:tr>
      <w:tr w:rsidR="004A1CB2" w14:paraId="355D4EFC" w14:textId="77777777" w:rsidTr="00D5243A">
        <w:tc>
          <w:tcPr>
            <w:tcW w:w="1141" w:type="dxa"/>
            <w:tcBorders>
              <w:top w:val="nil"/>
            </w:tcBorders>
          </w:tcPr>
          <w:p w14:paraId="355D4EF9" w14:textId="77777777" w:rsidR="004A1CB2" w:rsidRDefault="004A1CB2" w:rsidP="004A1CB2">
            <w:r>
              <w:t xml:space="preserve">123 </w:t>
            </w:r>
            <w:r w:rsidR="00D5243A">
              <w:t>(</w:t>
            </w:r>
            <w:r>
              <w:t>9°</w:t>
            </w:r>
            <w:r w:rsidR="00D5243A">
              <w:t>)</w:t>
            </w:r>
          </w:p>
        </w:tc>
        <w:tc>
          <w:tcPr>
            <w:tcW w:w="6361" w:type="dxa"/>
            <w:tcBorders>
              <w:top w:val="nil"/>
            </w:tcBorders>
          </w:tcPr>
          <w:p w14:paraId="355D4EFA" w14:textId="77777777" w:rsidR="004A1CB2" w:rsidRDefault="004A1CB2" w:rsidP="004A1CB2">
            <w:pPr>
              <w:ind w:left="317"/>
              <w:jc w:val="both"/>
            </w:pPr>
            <w:r>
              <w:t>une coupe latérale du puits indiquant les éléments techniques;</w:t>
            </w:r>
          </w:p>
        </w:tc>
        <w:sdt>
          <w:sdtPr>
            <w:rPr>
              <w:rFonts w:ascii="Verdana" w:hAnsi="Verdana"/>
              <w:sz w:val="16"/>
              <w:szCs w:val="16"/>
            </w:rPr>
            <w:id w:val="320700949"/>
            <w14:checkbox>
              <w14:checked w14:val="0"/>
              <w14:checkedState w14:val="2612" w14:font="MS Gothic"/>
              <w14:uncheckedState w14:val="2610" w14:font="MS Gothic"/>
            </w14:checkbox>
          </w:sdtPr>
          <w:sdtEndPr/>
          <w:sdtContent>
            <w:tc>
              <w:tcPr>
                <w:tcW w:w="1281" w:type="dxa"/>
                <w:tcBorders>
                  <w:top w:val="nil"/>
                </w:tcBorders>
              </w:tcPr>
              <w:p w14:paraId="355D4EFB" w14:textId="77777777" w:rsidR="004A1CB2" w:rsidRDefault="004A1CB2" w:rsidP="004A1CB2">
                <w:pPr>
                  <w:jc w:val="center"/>
                </w:pPr>
                <w:r>
                  <w:rPr>
                    <w:rFonts w:ascii="MS Gothic" w:eastAsia="MS Gothic" w:hAnsi="MS Gothic" w:hint="eastAsia"/>
                    <w:sz w:val="16"/>
                    <w:szCs w:val="16"/>
                  </w:rPr>
                  <w:t>☐</w:t>
                </w:r>
              </w:p>
            </w:tc>
          </w:sdtContent>
        </w:sdt>
      </w:tr>
      <w:tr w:rsidR="004A1CB2" w14:paraId="355D4F04" w14:textId="77777777" w:rsidTr="00D5243A">
        <w:tc>
          <w:tcPr>
            <w:tcW w:w="1141" w:type="dxa"/>
            <w:tcBorders>
              <w:top w:val="nil"/>
            </w:tcBorders>
          </w:tcPr>
          <w:p w14:paraId="355D4EFD" w14:textId="77777777" w:rsidR="004A1CB2" w:rsidRDefault="004A1CB2" w:rsidP="004A1CB2">
            <w:r>
              <w:t xml:space="preserve">123 </w:t>
            </w:r>
            <w:r w:rsidR="00D5243A">
              <w:t>(</w:t>
            </w:r>
            <w:r>
              <w:t>10°</w:t>
            </w:r>
            <w:r w:rsidR="00D5243A">
              <w:t>)</w:t>
            </w:r>
          </w:p>
        </w:tc>
        <w:tc>
          <w:tcPr>
            <w:tcW w:w="6361" w:type="dxa"/>
            <w:tcBorders>
              <w:top w:val="nil"/>
            </w:tcBorders>
          </w:tcPr>
          <w:p w14:paraId="355D4EFE" w14:textId="77777777" w:rsidR="004A1CB2" w:rsidRDefault="004A1CB2" w:rsidP="004A1CB2">
            <w:pPr>
              <w:ind w:left="317"/>
              <w:jc w:val="both"/>
            </w:pPr>
            <w:r>
              <w:t>une prévision géologique du puits comprenant notamment :</w:t>
            </w:r>
          </w:p>
          <w:p w14:paraId="355D4EFF" w14:textId="77777777" w:rsidR="004A1CB2" w:rsidRDefault="004A1CB2" w:rsidP="00A809D5">
            <w:pPr>
              <w:tabs>
                <w:tab w:val="left" w:pos="1123"/>
              </w:tabs>
              <w:ind w:left="742"/>
              <w:jc w:val="both"/>
            </w:pPr>
            <w:r w:rsidRPr="00A809D5">
              <w:rPr>
                <w:i/>
              </w:rPr>
              <w:t>a)</w:t>
            </w:r>
            <w:r w:rsidR="00A809D5">
              <w:tab/>
            </w:r>
            <w:r>
              <w:t>une colonne stratigraphique indiquant l’épaisseur des dépôts meubles, les formations géologiques, les zones poreuses ou perméables, les failles et les autres structures majeures;</w:t>
            </w:r>
          </w:p>
          <w:p w14:paraId="355D4F00" w14:textId="77777777" w:rsidR="004A1CB2" w:rsidRDefault="004A1CB2" w:rsidP="00A809D5">
            <w:pPr>
              <w:tabs>
                <w:tab w:val="left" w:pos="1123"/>
              </w:tabs>
              <w:ind w:left="742"/>
              <w:jc w:val="both"/>
            </w:pPr>
            <w:r w:rsidRPr="00A809D5">
              <w:rPr>
                <w:i/>
              </w:rPr>
              <w:t>b)</w:t>
            </w:r>
            <w:r w:rsidR="00A809D5">
              <w:tab/>
            </w:r>
            <w:r>
              <w:t>l’identification des zones potentielles de venues de fluides ou de perte de circulation;</w:t>
            </w:r>
          </w:p>
          <w:p w14:paraId="355D4F01" w14:textId="77777777" w:rsidR="004A1CB2" w:rsidRDefault="004A1CB2" w:rsidP="00A809D5">
            <w:pPr>
              <w:tabs>
                <w:tab w:val="left" w:pos="1123"/>
              </w:tabs>
              <w:ind w:left="742"/>
              <w:jc w:val="both"/>
            </w:pPr>
            <w:r w:rsidRPr="00A809D5">
              <w:rPr>
                <w:i/>
              </w:rPr>
              <w:t>c)</w:t>
            </w:r>
            <w:r w:rsidR="00A809D5">
              <w:rPr>
                <w:i/>
              </w:rPr>
              <w:tab/>
            </w:r>
            <w:r>
              <w:t>la base anticipée de l’eau souterraine exploitable, si elle diffère de celle prévue à l’article 3;</w:t>
            </w:r>
          </w:p>
          <w:p w14:paraId="355D4F02" w14:textId="77777777" w:rsidR="004A1CB2" w:rsidRDefault="004A1CB2" w:rsidP="00A809D5">
            <w:pPr>
              <w:tabs>
                <w:tab w:val="left" w:pos="1123"/>
              </w:tabs>
              <w:ind w:left="742"/>
              <w:jc w:val="both"/>
            </w:pPr>
            <w:r w:rsidRPr="00A809D5">
              <w:rPr>
                <w:i/>
              </w:rPr>
              <w:t>d)</w:t>
            </w:r>
            <w:r w:rsidR="00A809D5">
              <w:tab/>
            </w:r>
            <w:r>
              <w:t>les objectifs anticipés primaires et secondaires d’hydrocarbures;</w:t>
            </w:r>
          </w:p>
        </w:tc>
        <w:sdt>
          <w:sdtPr>
            <w:rPr>
              <w:rFonts w:ascii="Verdana" w:hAnsi="Verdana"/>
              <w:sz w:val="16"/>
              <w:szCs w:val="16"/>
            </w:rPr>
            <w:id w:val="-2097319715"/>
            <w14:checkbox>
              <w14:checked w14:val="0"/>
              <w14:checkedState w14:val="2612" w14:font="MS Gothic"/>
              <w14:uncheckedState w14:val="2610" w14:font="MS Gothic"/>
            </w14:checkbox>
          </w:sdtPr>
          <w:sdtEndPr/>
          <w:sdtContent>
            <w:tc>
              <w:tcPr>
                <w:tcW w:w="1281" w:type="dxa"/>
                <w:tcBorders>
                  <w:top w:val="nil"/>
                </w:tcBorders>
              </w:tcPr>
              <w:p w14:paraId="355D4F03" w14:textId="77777777" w:rsidR="004A1CB2" w:rsidRDefault="004A1CB2" w:rsidP="004A1CB2">
                <w:pPr>
                  <w:jc w:val="center"/>
                </w:pPr>
                <w:r>
                  <w:rPr>
                    <w:rFonts w:ascii="MS Gothic" w:eastAsia="MS Gothic" w:hAnsi="MS Gothic" w:hint="eastAsia"/>
                    <w:sz w:val="16"/>
                    <w:szCs w:val="16"/>
                  </w:rPr>
                  <w:t>☐</w:t>
                </w:r>
              </w:p>
            </w:tc>
          </w:sdtContent>
        </w:sdt>
      </w:tr>
      <w:tr w:rsidR="004A1CB2" w14:paraId="355D4F08" w14:textId="77777777" w:rsidTr="00D5243A">
        <w:tc>
          <w:tcPr>
            <w:tcW w:w="1141" w:type="dxa"/>
            <w:tcBorders>
              <w:top w:val="nil"/>
            </w:tcBorders>
          </w:tcPr>
          <w:p w14:paraId="355D4F05" w14:textId="77777777" w:rsidR="004A1CB2" w:rsidRDefault="004A1CB2" w:rsidP="004A1CB2">
            <w:r>
              <w:t xml:space="preserve">123 </w:t>
            </w:r>
            <w:r w:rsidR="00D5243A">
              <w:t>(</w:t>
            </w:r>
            <w:r>
              <w:t>11°</w:t>
            </w:r>
            <w:r w:rsidR="00D5243A">
              <w:t>)</w:t>
            </w:r>
          </w:p>
        </w:tc>
        <w:tc>
          <w:tcPr>
            <w:tcW w:w="6361" w:type="dxa"/>
            <w:tcBorders>
              <w:top w:val="nil"/>
            </w:tcBorders>
          </w:tcPr>
          <w:p w14:paraId="355D4F06" w14:textId="77777777" w:rsidR="004A1CB2" w:rsidRDefault="004A1CB2" w:rsidP="004A1CB2">
            <w:pPr>
              <w:ind w:left="317"/>
              <w:jc w:val="both"/>
            </w:pPr>
            <w:r>
              <w:t>le cas échéant, la liste des intervalles de carottage prévus;</w:t>
            </w:r>
          </w:p>
        </w:tc>
        <w:sdt>
          <w:sdtPr>
            <w:rPr>
              <w:rFonts w:ascii="Verdana" w:hAnsi="Verdana"/>
              <w:sz w:val="16"/>
              <w:szCs w:val="16"/>
            </w:rPr>
            <w:id w:val="-1362660551"/>
            <w14:checkbox>
              <w14:checked w14:val="0"/>
              <w14:checkedState w14:val="2612" w14:font="MS Gothic"/>
              <w14:uncheckedState w14:val="2610" w14:font="MS Gothic"/>
            </w14:checkbox>
          </w:sdtPr>
          <w:sdtEndPr/>
          <w:sdtContent>
            <w:tc>
              <w:tcPr>
                <w:tcW w:w="1281" w:type="dxa"/>
                <w:tcBorders>
                  <w:top w:val="nil"/>
                </w:tcBorders>
              </w:tcPr>
              <w:p w14:paraId="355D4F07" w14:textId="77777777" w:rsidR="004A1CB2" w:rsidRDefault="004A1CB2" w:rsidP="004A1CB2">
                <w:pPr>
                  <w:jc w:val="center"/>
                </w:pPr>
                <w:r>
                  <w:rPr>
                    <w:rFonts w:ascii="MS Gothic" w:eastAsia="MS Gothic" w:hAnsi="MS Gothic" w:hint="eastAsia"/>
                    <w:sz w:val="16"/>
                    <w:szCs w:val="16"/>
                  </w:rPr>
                  <w:t>☐</w:t>
                </w:r>
              </w:p>
            </w:tc>
          </w:sdtContent>
        </w:sdt>
      </w:tr>
      <w:tr w:rsidR="004A1CB2" w14:paraId="355D4F0C" w14:textId="77777777" w:rsidTr="00D5243A">
        <w:tc>
          <w:tcPr>
            <w:tcW w:w="1141" w:type="dxa"/>
            <w:tcBorders>
              <w:top w:val="nil"/>
            </w:tcBorders>
          </w:tcPr>
          <w:p w14:paraId="355D4F09" w14:textId="77777777" w:rsidR="004A1CB2" w:rsidRDefault="004A1CB2" w:rsidP="004A1CB2">
            <w:r>
              <w:t xml:space="preserve">123 </w:t>
            </w:r>
            <w:r w:rsidR="00D5243A">
              <w:t>(</w:t>
            </w:r>
            <w:r>
              <w:t>12°</w:t>
            </w:r>
            <w:r w:rsidR="00D5243A">
              <w:t>)</w:t>
            </w:r>
          </w:p>
        </w:tc>
        <w:tc>
          <w:tcPr>
            <w:tcW w:w="6361" w:type="dxa"/>
            <w:tcBorders>
              <w:top w:val="nil"/>
            </w:tcBorders>
          </w:tcPr>
          <w:p w14:paraId="355D4F0A" w14:textId="77777777" w:rsidR="004A1CB2" w:rsidRDefault="004A1CB2" w:rsidP="004A1CB2">
            <w:pPr>
              <w:ind w:left="317"/>
              <w:jc w:val="both"/>
            </w:pPr>
            <w:r>
              <w:t>la liste des essais de pression et d’étanchéité, des essais aux tiges, des essais d’intégrité de la formation ainsi que de tous les autres essais prévus;</w:t>
            </w:r>
          </w:p>
        </w:tc>
        <w:sdt>
          <w:sdtPr>
            <w:rPr>
              <w:rFonts w:ascii="Verdana" w:hAnsi="Verdana"/>
              <w:sz w:val="16"/>
              <w:szCs w:val="16"/>
            </w:rPr>
            <w:id w:val="1230272845"/>
            <w14:checkbox>
              <w14:checked w14:val="0"/>
              <w14:checkedState w14:val="2612" w14:font="MS Gothic"/>
              <w14:uncheckedState w14:val="2610" w14:font="MS Gothic"/>
            </w14:checkbox>
          </w:sdtPr>
          <w:sdtEndPr/>
          <w:sdtContent>
            <w:tc>
              <w:tcPr>
                <w:tcW w:w="1281" w:type="dxa"/>
                <w:tcBorders>
                  <w:top w:val="nil"/>
                </w:tcBorders>
              </w:tcPr>
              <w:p w14:paraId="355D4F0B" w14:textId="77777777" w:rsidR="004A1CB2" w:rsidRDefault="004A1CB2" w:rsidP="004A1CB2">
                <w:pPr>
                  <w:jc w:val="center"/>
                </w:pPr>
                <w:r>
                  <w:rPr>
                    <w:rFonts w:ascii="MS Gothic" w:eastAsia="MS Gothic" w:hAnsi="MS Gothic" w:hint="eastAsia"/>
                    <w:sz w:val="16"/>
                    <w:szCs w:val="16"/>
                  </w:rPr>
                  <w:t>☐</w:t>
                </w:r>
              </w:p>
            </w:tc>
          </w:sdtContent>
        </w:sdt>
      </w:tr>
      <w:tr w:rsidR="004A1CB2" w14:paraId="355D4F10" w14:textId="77777777" w:rsidTr="00D5243A">
        <w:tc>
          <w:tcPr>
            <w:tcW w:w="1141" w:type="dxa"/>
            <w:tcBorders>
              <w:top w:val="nil"/>
            </w:tcBorders>
          </w:tcPr>
          <w:p w14:paraId="355D4F0D" w14:textId="77777777" w:rsidR="004A1CB2" w:rsidRDefault="004A1CB2" w:rsidP="004A1CB2">
            <w:r>
              <w:t xml:space="preserve">123 </w:t>
            </w:r>
            <w:r w:rsidR="00D5243A">
              <w:t>(</w:t>
            </w:r>
            <w:r>
              <w:t>13°</w:t>
            </w:r>
            <w:r w:rsidR="00D5243A">
              <w:t>)</w:t>
            </w:r>
          </w:p>
        </w:tc>
        <w:tc>
          <w:tcPr>
            <w:tcW w:w="6361" w:type="dxa"/>
            <w:tcBorders>
              <w:top w:val="nil"/>
            </w:tcBorders>
          </w:tcPr>
          <w:p w14:paraId="355D4F0E" w14:textId="77777777" w:rsidR="004A1CB2" w:rsidRDefault="004A1CB2" w:rsidP="004A1CB2">
            <w:pPr>
              <w:ind w:left="317"/>
              <w:jc w:val="both"/>
            </w:pPr>
            <w:r>
              <w:t>la liste des diagraphies prévues;</w:t>
            </w:r>
          </w:p>
        </w:tc>
        <w:sdt>
          <w:sdtPr>
            <w:rPr>
              <w:rFonts w:ascii="Verdana" w:hAnsi="Verdana"/>
              <w:sz w:val="16"/>
              <w:szCs w:val="16"/>
            </w:rPr>
            <w:id w:val="604777602"/>
            <w14:checkbox>
              <w14:checked w14:val="0"/>
              <w14:checkedState w14:val="2612" w14:font="MS Gothic"/>
              <w14:uncheckedState w14:val="2610" w14:font="MS Gothic"/>
            </w14:checkbox>
          </w:sdtPr>
          <w:sdtEndPr/>
          <w:sdtContent>
            <w:tc>
              <w:tcPr>
                <w:tcW w:w="1281" w:type="dxa"/>
                <w:tcBorders>
                  <w:top w:val="nil"/>
                </w:tcBorders>
              </w:tcPr>
              <w:p w14:paraId="355D4F0F" w14:textId="77777777" w:rsidR="004A1CB2" w:rsidRDefault="004A1CB2" w:rsidP="004A1CB2">
                <w:pPr>
                  <w:jc w:val="center"/>
                </w:pPr>
                <w:r>
                  <w:rPr>
                    <w:rFonts w:ascii="MS Gothic" w:eastAsia="MS Gothic" w:hAnsi="MS Gothic" w:hint="eastAsia"/>
                    <w:sz w:val="16"/>
                    <w:szCs w:val="16"/>
                  </w:rPr>
                  <w:t>☐</w:t>
                </w:r>
              </w:p>
            </w:tc>
          </w:sdtContent>
        </w:sdt>
      </w:tr>
      <w:tr w:rsidR="004A1CB2" w14:paraId="355D4F1A" w14:textId="77777777" w:rsidTr="00D5243A">
        <w:tc>
          <w:tcPr>
            <w:tcW w:w="1141" w:type="dxa"/>
            <w:tcBorders>
              <w:top w:val="nil"/>
            </w:tcBorders>
          </w:tcPr>
          <w:p w14:paraId="355D4F11" w14:textId="77777777" w:rsidR="004A1CB2" w:rsidRDefault="004A1CB2" w:rsidP="004A1CB2">
            <w:r>
              <w:t xml:space="preserve">123 </w:t>
            </w:r>
            <w:r w:rsidR="00D5243A">
              <w:t>(</w:t>
            </w:r>
            <w:r>
              <w:t>14°</w:t>
            </w:r>
            <w:r w:rsidR="00D5243A">
              <w:t>)</w:t>
            </w:r>
          </w:p>
        </w:tc>
        <w:tc>
          <w:tcPr>
            <w:tcW w:w="6361" w:type="dxa"/>
            <w:tcBorders>
              <w:top w:val="nil"/>
            </w:tcBorders>
          </w:tcPr>
          <w:p w14:paraId="355D4F12" w14:textId="77777777" w:rsidR="004A1CB2" w:rsidRDefault="004A1CB2" w:rsidP="004A1CB2">
            <w:pPr>
              <w:ind w:left="317"/>
              <w:jc w:val="both"/>
            </w:pPr>
            <w:r>
              <w:t>un programme de forage comprenant notamment :</w:t>
            </w:r>
          </w:p>
          <w:p w14:paraId="355D4F13" w14:textId="77777777" w:rsidR="004A1CB2" w:rsidRDefault="004A1CB2" w:rsidP="00A809D5">
            <w:pPr>
              <w:tabs>
                <w:tab w:val="left" w:pos="1123"/>
              </w:tabs>
              <w:ind w:left="742"/>
              <w:jc w:val="both"/>
            </w:pPr>
            <w:r w:rsidRPr="00A809D5">
              <w:rPr>
                <w:i/>
              </w:rPr>
              <w:t>a)</w:t>
            </w:r>
            <w:r w:rsidR="00A809D5">
              <w:tab/>
            </w:r>
            <w:r>
              <w:t>le type d’appareil de forage et les équipements qui seront utilisés ainsi que leurs spécifications;</w:t>
            </w:r>
          </w:p>
          <w:p w14:paraId="355D4F14" w14:textId="77777777" w:rsidR="004A1CB2" w:rsidRDefault="004A1CB2" w:rsidP="00A809D5">
            <w:pPr>
              <w:tabs>
                <w:tab w:val="left" w:pos="1123"/>
              </w:tabs>
              <w:ind w:left="742"/>
              <w:jc w:val="both"/>
            </w:pPr>
            <w:r w:rsidRPr="00A809D5">
              <w:rPr>
                <w:i/>
              </w:rPr>
              <w:t>d)</w:t>
            </w:r>
            <w:r w:rsidR="00A809D5">
              <w:tab/>
            </w:r>
            <w:r>
              <w:t>les diamètres du puits en fonction de la profondeur mesurée et de la profondeur verticale réelle sur une coupe latérale, jusqu’au fond du puits planifié;</w:t>
            </w:r>
          </w:p>
          <w:p w14:paraId="355D4F15" w14:textId="77777777" w:rsidR="004A1CB2" w:rsidRDefault="004A1CB2" w:rsidP="00A809D5">
            <w:pPr>
              <w:tabs>
                <w:tab w:val="left" w:pos="1123"/>
              </w:tabs>
              <w:ind w:left="742"/>
              <w:jc w:val="both"/>
            </w:pPr>
            <w:r w:rsidRPr="00A809D5">
              <w:rPr>
                <w:i/>
              </w:rPr>
              <w:t>e)</w:t>
            </w:r>
            <w:r w:rsidR="00A809D5">
              <w:tab/>
            </w:r>
            <w:r>
              <w:t>le cas échéant, une prévision graphique de la pression et de la température de formation jusqu’à la profondeur finale prévue;</w:t>
            </w:r>
          </w:p>
          <w:p w14:paraId="355D4F16" w14:textId="77777777" w:rsidR="004A1CB2" w:rsidRDefault="004A1CB2" w:rsidP="00A809D5">
            <w:pPr>
              <w:tabs>
                <w:tab w:val="left" w:pos="1123"/>
              </w:tabs>
              <w:ind w:left="742"/>
              <w:jc w:val="both"/>
            </w:pPr>
            <w:r w:rsidRPr="00A809D5">
              <w:rPr>
                <w:i/>
              </w:rPr>
              <w:t>f)</w:t>
            </w:r>
            <w:r w:rsidR="00A809D5">
              <w:tab/>
            </w:r>
            <w:r>
              <w:t>le cas échéant, un calcul du gradient de fracturation prévu;</w:t>
            </w:r>
          </w:p>
          <w:p w14:paraId="355D4F17" w14:textId="77777777" w:rsidR="004A1CB2" w:rsidRDefault="004A1CB2" w:rsidP="00A809D5">
            <w:pPr>
              <w:tabs>
                <w:tab w:val="left" w:pos="1123"/>
              </w:tabs>
              <w:ind w:left="742"/>
              <w:jc w:val="both"/>
            </w:pPr>
            <w:r w:rsidRPr="00A809D5">
              <w:rPr>
                <w:i/>
              </w:rPr>
              <w:t>g)</w:t>
            </w:r>
            <w:r w:rsidR="00A809D5">
              <w:tab/>
            </w:r>
            <w:r>
              <w:t>une prévision graphique de la déviation de la trajectoire du forage jusqu’à la profondeur finale prévue;</w:t>
            </w:r>
          </w:p>
          <w:p w14:paraId="355D4F18" w14:textId="77777777" w:rsidR="004A1CB2" w:rsidRDefault="004A1CB2" w:rsidP="00A809D5">
            <w:pPr>
              <w:tabs>
                <w:tab w:val="left" w:pos="1123"/>
              </w:tabs>
              <w:ind w:left="742"/>
              <w:jc w:val="both"/>
            </w:pPr>
            <w:r w:rsidRPr="00A809D5">
              <w:rPr>
                <w:i/>
              </w:rPr>
              <w:t>h)</w:t>
            </w:r>
            <w:r w:rsidR="00A809D5">
              <w:tab/>
            </w:r>
            <w:r>
              <w:t>la fréquence des mesures de déviation de la trajectoire en inclinaison et en azimut;</w:t>
            </w:r>
          </w:p>
        </w:tc>
        <w:sdt>
          <w:sdtPr>
            <w:rPr>
              <w:rFonts w:ascii="Verdana" w:hAnsi="Verdana"/>
              <w:sz w:val="16"/>
              <w:szCs w:val="16"/>
            </w:rPr>
            <w:id w:val="537552573"/>
            <w14:checkbox>
              <w14:checked w14:val="0"/>
              <w14:checkedState w14:val="2612" w14:font="MS Gothic"/>
              <w14:uncheckedState w14:val="2610" w14:font="MS Gothic"/>
            </w14:checkbox>
          </w:sdtPr>
          <w:sdtEndPr/>
          <w:sdtContent>
            <w:tc>
              <w:tcPr>
                <w:tcW w:w="1281" w:type="dxa"/>
                <w:tcBorders>
                  <w:top w:val="nil"/>
                </w:tcBorders>
              </w:tcPr>
              <w:p w14:paraId="355D4F19" w14:textId="77777777" w:rsidR="004A1CB2" w:rsidRDefault="004A1CB2" w:rsidP="004A1CB2">
                <w:pPr>
                  <w:jc w:val="center"/>
                </w:pPr>
                <w:r>
                  <w:rPr>
                    <w:rFonts w:ascii="MS Gothic" w:eastAsia="MS Gothic" w:hAnsi="MS Gothic" w:hint="eastAsia"/>
                    <w:sz w:val="16"/>
                    <w:szCs w:val="16"/>
                  </w:rPr>
                  <w:t>☐</w:t>
                </w:r>
              </w:p>
            </w:tc>
          </w:sdtContent>
        </w:sdt>
      </w:tr>
      <w:tr w:rsidR="004A1CB2" w14:paraId="355D4F23" w14:textId="77777777" w:rsidTr="00D5243A">
        <w:tc>
          <w:tcPr>
            <w:tcW w:w="1141" w:type="dxa"/>
          </w:tcPr>
          <w:p w14:paraId="355D4F1B" w14:textId="77777777" w:rsidR="004A1CB2" w:rsidRDefault="004A1CB2" w:rsidP="004A1CB2">
            <w:r>
              <w:t xml:space="preserve">123 </w:t>
            </w:r>
            <w:r w:rsidR="00D5243A">
              <w:t>(</w:t>
            </w:r>
            <w:r>
              <w:t>15°</w:t>
            </w:r>
            <w:r w:rsidR="00D5243A">
              <w:t>)</w:t>
            </w:r>
          </w:p>
        </w:tc>
        <w:tc>
          <w:tcPr>
            <w:tcW w:w="6361" w:type="dxa"/>
          </w:tcPr>
          <w:p w14:paraId="355D4F1C" w14:textId="77777777" w:rsidR="004A1CB2" w:rsidRDefault="004A1CB2" w:rsidP="004A1CB2">
            <w:pPr>
              <w:ind w:left="317"/>
              <w:jc w:val="both"/>
            </w:pPr>
            <w:r>
              <w:t>un programme de cimentation des espaces annulaires de chacune des colonnes de tubage et comprenant notamment :</w:t>
            </w:r>
          </w:p>
          <w:p w14:paraId="355D4F1D" w14:textId="77777777" w:rsidR="004A1CB2" w:rsidRDefault="004A1CB2" w:rsidP="00A809D5">
            <w:pPr>
              <w:tabs>
                <w:tab w:val="left" w:pos="1123"/>
              </w:tabs>
              <w:ind w:left="742"/>
              <w:jc w:val="both"/>
            </w:pPr>
            <w:r w:rsidRPr="00A809D5">
              <w:rPr>
                <w:i/>
              </w:rPr>
              <w:t>a)</w:t>
            </w:r>
            <w:r w:rsidR="00A809D5">
              <w:tab/>
            </w:r>
            <w:r>
              <w:t>les diamètres des colonnes de tubage en fonction de la profondeur mesurée et de la profondeur verticale réelle;</w:t>
            </w:r>
          </w:p>
          <w:p w14:paraId="355D4F1E" w14:textId="77777777" w:rsidR="004A1CB2" w:rsidRDefault="004A1CB2" w:rsidP="00A809D5">
            <w:pPr>
              <w:tabs>
                <w:tab w:val="left" w:pos="1123"/>
              </w:tabs>
              <w:ind w:left="742"/>
              <w:jc w:val="both"/>
            </w:pPr>
            <w:r w:rsidRPr="00A809D5">
              <w:rPr>
                <w:i/>
              </w:rPr>
              <w:t>b)</w:t>
            </w:r>
            <w:r w:rsidR="00A809D5">
              <w:tab/>
            </w:r>
            <w:r>
              <w:t>la hauteur planifiée de la colonne de ciment dans l’espace annulaire;</w:t>
            </w:r>
          </w:p>
          <w:p w14:paraId="355D4F1F" w14:textId="77777777" w:rsidR="004A1CB2" w:rsidRDefault="004A1CB2" w:rsidP="00A809D5">
            <w:pPr>
              <w:tabs>
                <w:tab w:val="left" w:pos="1123"/>
              </w:tabs>
              <w:ind w:left="742"/>
              <w:jc w:val="both"/>
            </w:pPr>
            <w:r w:rsidRPr="00A809D5">
              <w:rPr>
                <w:i/>
              </w:rPr>
              <w:t>c)</w:t>
            </w:r>
            <w:r w:rsidR="00A809D5">
              <w:tab/>
            </w:r>
            <w:r>
              <w:t>les méthodes de préparation et de mise en place du ciment;</w:t>
            </w:r>
          </w:p>
          <w:p w14:paraId="355D4F20" w14:textId="77777777" w:rsidR="004A1CB2" w:rsidRDefault="004A1CB2" w:rsidP="00A809D5">
            <w:pPr>
              <w:tabs>
                <w:tab w:val="left" w:pos="1123"/>
              </w:tabs>
              <w:ind w:left="742"/>
              <w:jc w:val="both"/>
            </w:pPr>
            <w:r w:rsidRPr="00A809D5">
              <w:rPr>
                <w:i/>
              </w:rPr>
              <w:t>e)</w:t>
            </w:r>
            <w:r w:rsidR="00A809D5">
              <w:tab/>
            </w:r>
            <w:r>
              <w:t>le type de ciment utilisé et ses additifs;</w:t>
            </w:r>
          </w:p>
          <w:p w14:paraId="355D4F21" w14:textId="77777777" w:rsidR="004A1CB2" w:rsidRDefault="004A1CB2" w:rsidP="00A809D5">
            <w:pPr>
              <w:tabs>
                <w:tab w:val="left" w:pos="1123"/>
              </w:tabs>
              <w:ind w:left="742"/>
              <w:jc w:val="both"/>
            </w:pPr>
            <w:r w:rsidRPr="00A809D5">
              <w:rPr>
                <w:i/>
              </w:rPr>
              <w:t>h)</w:t>
            </w:r>
            <w:r w:rsidR="00A809D5">
              <w:tab/>
            </w:r>
            <w:r>
              <w:t>la méthode de vérification de la circulation du ciment dans l’espace annulaire;</w:t>
            </w:r>
          </w:p>
        </w:tc>
        <w:sdt>
          <w:sdtPr>
            <w:rPr>
              <w:rFonts w:ascii="Verdana" w:hAnsi="Verdana"/>
              <w:sz w:val="16"/>
              <w:szCs w:val="16"/>
            </w:rPr>
            <w:id w:val="1451365477"/>
            <w14:checkbox>
              <w14:checked w14:val="0"/>
              <w14:checkedState w14:val="2612" w14:font="MS Gothic"/>
              <w14:uncheckedState w14:val="2610" w14:font="MS Gothic"/>
            </w14:checkbox>
          </w:sdtPr>
          <w:sdtEndPr/>
          <w:sdtContent>
            <w:tc>
              <w:tcPr>
                <w:tcW w:w="1281" w:type="dxa"/>
              </w:tcPr>
              <w:p w14:paraId="355D4F22" w14:textId="77777777" w:rsidR="004A1CB2" w:rsidRDefault="004A1CB2" w:rsidP="004A1CB2">
                <w:pPr>
                  <w:jc w:val="center"/>
                </w:pPr>
                <w:r>
                  <w:rPr>
                    <w:rFonts w:ascii="MS Gothic" w:eastAsia="MS Gothic" w:hAnsi="MS Gothic" w:hint="eastAsia"/>
                    <w:sz w:val="16"/>
                    <w:szCs w:val="16"/>
                  </w:rPr>
                  <w:t>☐</w:t>
                </w:r>
              </w:p>
            </w:tc>
          </w:sdtContent>
        </w:sdt>
      </w:tr>
      <w:tr w:rsidR="004A1CB2" w14:paraId="355D4F27" w14:textId="77777777" w:rsidTr="00D5243A">
        <w:tc>
          <w:tcPr>
            <w:tcW w:w="1141" w:type="dxa"/>
          </w:tcPr>
          <w:p w14:paraId="355D4F24" w14:textId="77777777" w:rsidR="004A1CB2" w:rsidRDefault="004A1CB2" w:rsidP="004A1CB2">
            <w:r>
              <w:t xml:space="preserve">123 </w:t>
            </w:r>
            <w:r w:rsidR="00D5243A">
              <w:t>(</w:t>
            </w:r>
            <w:r>
              <w:t>19°</w:t>
            </w:r>
            <w:r w:rsidR="00D5243A">
              <w:t>)</w:t>
            </w:r>
          </w:p>
        </w:tc>
        <w:tc>
          <w:tcPr>
            <w:tcW w:w="6361" w:type="dxa"/>
          </w:tcPr>
          <w:p w14:paraId="355D4F25" w14:textId="77777777" w:rsidR="004A1CB2" w:rsidRDefault="004A1CB2" w:rsidP="004A1CB2">
            <w:pPr>
              <w:ind w:left="317"/>
              <w:jc w:val="both"/>
            </w:pPr>
            <w:r>
              <w:t>tout autre renseignement ou document jugé nécessaire par le ministre.</w:t>
            </w:r>
          </w:p>
        </w:tc>
        <w:sdt>
          <w:sdtPr>
            <w:rPr>
              <w:rFonts w:ascii="Verdana" w:hAnsi="Verdana"/>
              <w:sz w:val="16"/>
              <w:szCs w:val="16"/>
            </w:rPr>
            <w:id w:val="691259527"/>
            <w14:checkbox>
              <w14:checked w14:val="0"/>
              <w14:checkedState w14:val="2612" w14:font="MS Gothic"/>
              <w14:uncheckedState w14:val="2610" w14:font="MS Gothic"/>
            </w14:checkbox>
          </w:sdtPr>
          <w:sdtEndPr/>
          <w:sdtContent>
            <w:tc>
              <w:tcPr>
                <w:tcW w:w="1281" w:type="dxa"/>
              </w:tcPr>
              <w:p w14:paraId="355D4F26" w14:textId="77777777" w:rsidR="004A1CB2" w:rsidRDefault="004A1CB2" w:rsidP="004A1CB2">
                <w:pPr>
                  <w:jc w:val="center"/>
                </w:pPr>
                <w:r>
                  <w:rPr>
                    <w:rFonts w:ascii="MS Gothic" w:eastAsia="MS Gothic" w:hAnsi="MS Gothic" w:hint="eastAsia"/>
                    <w:sz w:val="16"/>
                    <w:szCs w:val="16"/>
                  </w:rPr>
                  <w:t>☐</w:t>
                </w:r>
              </w:p>
            </w:tc>
          </w:sdtContent>
        </w:sdt>
      </w:tr>
    </w:tbl>
    <w:p w14:paraId="355D4F28" w14:textId="77777777" w:rsidR="00571E74" w:rsidRDefault="00571E74" w:rsidP="00571E74"/>
    <w:p w14:paraId="651540CA" w14:textId="77777777" w:rsidR="00BA7C68" w:rsidRDefault="00BA7C68" w:rsidP="00BA7C68">
      <w:pPr>
        <w:pStyle w:val="Pieddepage"/>
      </w:pPr>
      <w:r>
        <w:t>Direction du bureau des hydrocarbures</w:t>
      </w:r>
    </w:p>
    <w:p w14:paraId="7B63800A" w14:textId="77777777" w:rsidR="00BA7C68" w:rsidRDefault="00BA7C68" w:rsidP="00BA7C68">
      <w:pPr>
        <w:pStyle w:val="Pieddepage"/>
      </w:pPr>
      <w:r>
        <w:t xml:space="preserve">À jour au </w:t>
      </w:r>
      <w:r>
        <w:fldChar w:fldCharType="begin"/>
      </w:r>
      <w:r>
        <w:instrText xml:space="preserve"> TIME \@ "d MMMM yyyy" </w:instrText>
      </w:r>
      <w:r>
        <w:fldChar w:fldCharType="separate"/>
      </w:r>
      <w:r w:rsidR="00B91218">
        <w:rPr>
          <w:noProof/>
        </w:rPr>
        <w:t>25 mars 2019</w:t>
      </w:r>
      <w:r>
        <w:fldChar w:fldCharType="end"/>
      </w:r>
    </w:p>
    <w:p w14:paraId="7217601F" w14:textId="77777777" w:rsidR="00BA7C68" w:rsidRDefault="00BA7C68" w:rsidP="00571E74"/>
    <w:sectPr w:rsidR="00BA7C68" w:rsidSect="00396F3C">
      <w:headerReference w:type="default" r:id="rId11"/>
      <w:footerReference w:type="default" r:id="rId12"/>
      <w:pgSz w:w="12240" w:h="20160" w:code="5"/>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D4F2B" w14:textId="77777777" w:rsidR="00643C5D" w:rsidRDefault="00643C5D" w:rsidP="008E69C1">
      <w:pPr>
        <w:spacing w:after="0" w:line="240" w:lineRule="auto"/>
      </w:pPr>
      <w:r>
        <w:separator/>
      </w:r>
    </w:p>
  </w:endnote>
  <w:endnote w:type="continuationSeparator" w:id="0">
    <w:p w14:paraId="355D4F2C" w14:textId="77777777" w:rsidR="00643C5D" w:rsidRDefault="00643C5D" w:rsidP="008E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871064"/>
      <w:docPartObj>
        <w:docPartGallery w:val="Page Numbers (Bottom of Page)"/>
        <w:docPartUnique/>
      </w:docPartObj>
    </w:sdtPr>
    <w:sdtEndPr/>
    <w:sdtContent>
      <w:sdt>
        <w:sdtPr>
          <w:id w:val="670303789"/>
          <w:docPartObj>
            <w:docPartGallery w:val="Page Numbers (Top of Page)"/>
            <w:docPartUnique/>
          </w:docPartObj>
        </w:sdtPr>
        <w:sdtEndPr/>
        <w:sdtContent>
          <w:p w14:paraId="5AF17D02" w14:textId="77777777" w:rsidR="0013012C" w:rsidRDefault="0013012C" w:rsidP="0013012C">
            <w:pPr>
              <w:pStyle w:val="En-tte"/>
              <w:tabs>
                <w:tab w:val="clear" w:pos="4320"/>
                <w:tab w:val="clear" w:pos="8640"/>
                <w:tab w:val="center" w:pos="5670"/>
                <w:tab w:val="right" w:pos="11199"/>
                <w:tab w:val="right" w:pos="17280"/>
              </w:tabs>
              <w:spacing w:before="120"/>
              <w:ind w:left="-993" w:right="-1283"/>
            </w:pPr>
            <w:r w:rsidRPr="001F08AB">
              <w:rPr>
                <w:rFonts w:ascii="Arial" w:hAnsi="Arial"/>
                <w:sz w:val="16"/>
                <w:szCs w:val="16"/>
              </w:rPr>
              <w:t>Ministère de l’Énergie et des Ressources naturelles</w:t>
            </w:r>
            <w:r w:rsidRPr="001F08AB">
              <w:rPr>
                <w:rFonts w:ascii="Arial" w:hAnsi="Arial"/>
                <w:sz w:val="16"/>
                <w:szCs w:val="16"/>
              </w:rPr>
              <w:tab/>
              <w:t>Direction du bureau des hydrocarbures</w:t>
            </w:r>
            <w:r w:rsidRPr="001F08AB">
              <w:rPr>
                <w:sz w:val="16"/>
                <w:szCs w:val="16"/>
              </w:rPr>
              <w:tab/>
            </w:r>
            <w:r w:rsidRPr="001F08AB">
              <w:rPr>
                <w:rFonts w:ascii="Arial" w:hAnsi="Arial"/>
                <w:sz w:val="16"/>
                <w:szCs w:val="16"/>
              </w:rPr>
              <w:fldChar w:fldCharType="begin"/>
            </w:r>
            <w:r w:rsidRPr="001F08AB">
              <w:rPr>
                <w:rFonts w:ascii="Arial" w:hAnsi="Arial"/>
                <w:sz w:val="16"/>
                <w:szCs w:val="16"/>
              </w:rPr>
              <w:instrText xml:space="preserve"> TIME \@ "yy-MMM-d" </w:instrText>
            </w:r>
            <w:r w:rsidRPr="001F08AB">
              <w:rPr>
                <w:rFonts w:ascii="Arial" w:hAnsi="Arial"/>
                <w:sz w:val="16"/>
                <w:szCs w:val="16"/>
              </w:rPr>
              <w:fldChar w:fldCharType="separate"/>
            </w:r>
            <w:r w:rsidR="00B91218">
              <w:rPr>
                <w:rFonts w:ascii="Arial" w:hAnsi="Arial"/>
                <w:noProof/>
                <w:sz w:val="16"/>
                <w:szCs w:val="16"/>
              </w:rPr>
              <w:t>19-mars-25</w:t>
            </w:r>
            <w:r w:rsidRPr="001F08AB">
              <w:rPr>
                <w:rFonts w:ascii="Arial" w:hAnsi="Arial"/>
                <w:sz w:val="16"/>
                <w:szCs w:val="16"/>
              </w:rPr>
              <w:fldChar w:fldCharType="end"/>
            </w:r>
            <w:r w:rsidRPr="001F08AB">
              <w:rPr>
                <w:rFonts w:ascii="Arial" w:hAnsi="Arial"/>
                <w:sz w:val="16"/>
                <w:szCs w:val="16"/>
              </w:rPr>
              <w:t xml:space="preserve">– Page </w:t>
            </w:r>
            <w:r w:rsidRPr="001F08AB">
              <w:rPr>
                <w:rFonts w:ascii="Arial" w:hAnsi="Arial"/>
                <w:sz w:val="16"/>
                <w:szCs w:val="16"/>
              </w:rPr>
              <w:fldChar w:fldCharType="begin"/>
            </w:r>
            <w:r w:rsidRPr="001F08AB">
              <w:rPr>
                <w:rFonts w:ascii="Arial" w:hAnsi="Arial"/>
                <w:sz w:val="16"/>
                <w:szCs w:val="16"/>
              </w:rPr>
              <w:instrText>PAGE</w:instrText>
            </w:r>
            <w:r w:rsidRPr="001F08AB">
              <w:rPr>
                <w:rFonts w:ascii="Arial" w:hAnsi="Arial"/>
                <w:sz w:val="16"/>
                <w:szCs w:val="16"/>
              </w:rPr>
              <w:fldChar w:fldCharType="separate"/>
            </w:r>
            <w:r w:rsidR="00B91218">
              <w:rPr>
                <w:rFonts w:ascii="Arial" w:hAnsi="Arial"/>
                <w:noProof/>
                <w:sz w:val="16"/>
                <w:szCs w:val="16"/>
              </w:rPr>
              <w:t>1</w:t>
            </w:r>
            <w:r w:rsidRPr="001F08AB">
              <w:rPr>
                <w:rFonts w:ascii="Arial" w:hAnsi="Arial"/>
                <w:sz w:val="16"/>
                <w:szCs w:val="16"/>
              </w:rPr>
              <w:fldChar w:fldCharType="end"/>
            </w:r>
            <w:r w:rsidRPr="001F08AB">
              <w:rPr>
                <w:rFonts w:ascii="Arial" w:hAnsi="Arial"/>
                <w:sz w:val="16"/>
                <w:szCs w:val="16"/>
              </w:rPr>
              <w:t xml:space="preserve"> sur </w:t>
            </w:r>
            <w:r w:rsidRPr="001F08AB">
              <w:rPr>
                <w:rFonts w:ascii="Arial" w:hAnsi="Arial"/>
                <w:sz w:val="16"/>
                <w:szCs w:val="16"/>
              </w:rPr>
              <w:fldChar w:fldCharType="begin"/>
            </w:r>
            <w:r w:rsidRPr="001F08AB">
              <w:rPr>
                <w:rFonts w:ascii="Arial" w:hAnsi="Arial"/>
                <w:sz w:val="16"/>
                <w:szCs w:val="16"/>
              </w:rPr>
              <w:instrText>NUMPAGES</w:instrText>
            </w:r>
            <w:r w:rsidRPr="001F08AB">
              <w:rPr>
                <w:rFonts w:ascii="Arial" w:hAnsi="Arial"/>
                <w:sz w:val="16"/>
                <w:szCs w:val="16"/>
              </w:rPr>
              <w:fldChar w:fldCharType="separate"/>
            </w:r>
            <w:r w:rsidR="00B91218">
              <w:rPr>
                <w:rFonts w:ascii="Arial" w:hAnsi="Arial"/>
                <w:noProof/>
                <w:sz w:val="16"/>
                <w:szCs w:val="16"/>
              </w:rPr>
              <w:t>2</w:t>
            </w:r>
            <w:r w:rsidRPr="001F08AB">
              <w:rPr>
                <w:rFonts w:ascii="Arial" w:hAnsi="Arial"/>
                <w:sz w:val="16"/>
                <w:szCs w:val="16"/>
              </w:rPr>
              <w:fldChar w:fldCharType="end"/>
            </w:r>
          </w:p>
        </w:sdtContent>
      </w:sdt>
    </w:sdtContent>
  </w:sdt>
  <w:p w14:paraId="7D55AB6F" w14:textId="77777777" w:rsidR="0013012C" w:rsidRPr="005832CA" w:rsidRDefault="0013012C" w:rsidP="0013012C">
    <w:pPr>
      <w:pStyle w:val="Pieddepage"/>
      <w:pBdr>
        <w:bottom w:val="single" w:sz="18" w:space="0" w:color="auto"/>
      </w:pBdr>
      <w:tabs>
        <w:tab w:val="clear" w:pos="4320"/>
        <w:tab w:val="clear" w:pos="8640"/>
        <w:tab w:val="center" w:pos="5418"/>
        <w:tab w:val="right" w:pos="10800"/>
      </w:tabs>
      <w:ind w:left="-993" w:right="-1283"/>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D4F29" w14:textId="77777777" w:rsidR="00643C5D" w:rsidRDefault="00643C5D" w:rsidP="008E69C1">
      <w:pPr>
        <w:spacing w:after="0" w:line="240" w:lineRule="auto"/>
      </w:pPr>
      <w:r>
        <w:separator/>
      </w:r>
    </w:p>
  </w:footnote>
  <w:footnote w:type="continuationSeparator" w:id="0">
    <w:p w14:paraId="355D4F2A" w14:textId="77777777" w:rsidR="00643C5D" w:rsidRDefault="00643C5D" w:rsidP="008E69C1">
      <w:pPr>
        <w:spacing w:after="0" w:line="240" w:lineRule="auto"/>
      </w:pPr>
      <w:r>
        <w:continuationSeparator/>
      </w:r>
    </w:p>
  </w:footnote>
  <w:footnote w:id="1">
    <w:p w14:paraId="355D4F2F" w14:textId="77777777" w:rsidR="008E69C1" w:rsidRDefault="008E69C1" w:rsidP="00F66551">
      <w:pPr>
        <w:pStyle w:val="Notedebasdepage"/>
        <w:tabs>
          <w:tab w:val="left" w:pos="142"/>
        </w:tabs>
        <w:ind w:left="142" w:hanging="142"/>
        <w:jc w:val="both"/>
      </w:pPr>
      <w:r w:rsidRPr="006950D6">
        <w:rPr>
          <w:rStyle w:val="Appelnotedebasdep"/>
        </w:rPr>
        <w:footnoteRef/>
      </w:r>
      <w:r w:rsidR="00F66551">
        <w:tab/>
      </w:r>
      <w:r w:rsidRPr="006950D6">
        <w:t xml:space="preserve">Compte tenu de la nature à posteriori d’une demande de forage </w:t>
      </w:r>
      <w:r w:rsidR="00DF0458" w:rsidRPr="006950D6">
        <w:t>en vertu d’une cession</w:t>
      </w:r>
      <w:r w:rsidRPr="006950D6">
        <w:t xml:space="preserve">, le titulaire doit adapter la conjugaison des verbes au passé. Afin de ne pas dénaturer les dispositions inscrites dans le Règlement, </w:t>
      </w:r>
      <w:r w:rsidR="00DF0458" w:rsidRPr="006950D6">
        <w:t>elles</w:t>
      </w:r>
      <w:r w:rsidRPr="006950D6">
        <w:t xml:space="preserve"> ont été </w:t>
      </w:r>
      <w:r w:rsidR="00DF0458" w:rsidRPr="006950D6">
        <w:t>transcrites</w:t>
      </w:r>
      <w:r w:rsidRPr="006950D6">
        <w:t xml:space="preserve"> comme telles.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38B1F" w14:textId="3414EEAA" w:rsidR="0013012C" w:rsidRDefault="0013012C">
    <w:pPr>
      <w:pStyle w:val="En-tte"/>
    </w:pPr>
    <w:r>
      <w:rPr>
        <w:noProof/>
        <w:lang w:eastAsia="fr-CA"/>
      </w:rPr>
      <w:drawing>
        <wp:anchor distT="0" distB="0" distL="114300" distR="114300" simplePos="0" relativeHeight="251659264" behindDoc="0" locked="0" layoutInCell="1" allowOverlap="1" wp14:anchorId="2214B452" wp14:editId="069029E2">
          <wp:simplePos x="0" y="0"/>
          <wp:positionH relativeFrom="column">
            <wp:posOffset>-903767</wp:posOffset>
          </wp:positionH>
          <wp:positionV relativeFrom="paragraph">
            <wp:posOffset>-160123</wp:posOffset>
          </wp:positionV>
          <wp:extent cx="1310270" cy="392515"/>
          <wp:effectExtent l="0" t="0" r="4445" b="7620"/>
          <wp:wrapNone/>
          <wp:docPr id="1" name="Image 1" descr="QUEB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Bi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0270" cy="3925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51355"/>
    <w:multiLevelType w:val="hybridMultilevel"/>
    <w:tmpl w:val="B832D6FA"/>
    <w:lvl w:ilvl="0" w:tplc="D7F4638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95137DA"/>
    <w:multiLevelType w:val="hybridMultilevel"/>
    <w:tmpl w:val="716E1438"/>
    <w:lvl w:ilvl="0" w:tplc="9578C09A">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gA27NRk+KHR4fbwzyOYeRNTWIo/k3GBTvtPaUHW/FmeVOovGtGv/QgqJ4lQutPGdg1WBBTeHYRO5vNk/ZMHRxA==" w:salt="WyKmQSppXOcPpIkf4AzX6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74"/>
    <w:rsid w:val="000B66AD"/>
    <w:rsid w:val="0013012C"/>
    <w:rsid w:val="001C6F23"/>
    <w:rsid w:val="001F72F9"/>
    <w:rsid w:val="00225A78"/>
    <w:rsid w:val="002C7EDC"/>
    <w:rsid w:val="002E3467"/>
    <w:rsid w:val="00303997"/>
    <w:rsid w:val="00342956"/>
    <w:rsid w:val="00373B00"/>
    <w:rsid w:val="0039388B"/>
    <w:rsid w:val="00396F3C"/>
    <w:rsid w:val="003A211E"/>
    <w:rsid w:val="003A6A40"/>
    <w:rsid w:val="0040757E"/>
    <w:rsid w:val="004A1CB2"/>
    <w:rsid w:val="004A7776"/>
    <w:rsid w:val="004B09B8"/>
    <w:rsid w:val="005435D9"/>
    <w:rsid w:val="005551D9"/>
    <w:rsid w:val="00571E74"/>
    <w:rsid w:val="00591A2D"/>
    <w:rsid w:val="005C0B0D"/>
    <w:rsid w:val="00631F54"/>
    <w:rsid w:val="006327A3"/>
    <w:rsid w:val="00643C5D"/>
    <w:rsid w:val="00687ACD"/>
    <w:rsid w:val="006950D6"/>
    <w:rsid w:val="006C5685"/>
    <w:rsid w:val="006E6C87"/>
    <w:rsid w:val="00765DDA"/>
    <w:rsid w:val="00866A75"/>
    <w:rsid w:val="008A5CB5"/>
    <w:rsid w:val="008C4E84"/>
    <w:rsid w:val="008E69C1"/>
    <w:rsid w:val="009213B5"/>
    <w:rsid w:val="009A5FF0"/>
    <w:rsid w:val="00A45877"/>
    <w:rsid w:val="00A60A7A"/>
    <w:rsid w:val="00A809D5"/>
    <w:rsid w:val="00AD61B3"/>
    <w:rsid w:val="00B91218"/>
    <w:rsid w:val="00BA7C68"/>
    <w:rsid w:val="00C53174"/>
    <w:rsid w:val="00CB74D8"/>
    <w:rsid w:val="00D03F7B"/>
    <w:rsid w:val="00D5243A"/>
    <w:rsid w:val="00DF0458"/>
    <w:rsid w:val="00DF7F29"/>
    <w:rsid w:val="00F6655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4E9A"/>
  <w15:chartTrackingRefBased/>
  <w15:docId w15:val="{24562068-A49A-458B-9AF9-461B4037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C6F23"/>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7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2C7EDC"/>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rsid w:val="008E69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E69C1"/>
    <w:rPr>
      <w:sz w:val="20"/>
      <w:szCs w:val="20"/>
    </w:rPr>
  </w:style>
  <w:style w:type="character" w:styleId="Appelnotedebasdep">
    <w:name w:val="footnote reference"/>
    <w:basedOn w:val="Policepardfaut"/>
    <w:uiPriority w:val="99"/>
    <w:semiHidden/>
    <w:unhideWhenUsed/>
    <w:rsid w:val="008E69C1"/>
    <w:rPr>
      <w:vertAlign w:val="superscript"/>
    </w:rPr>
  </w:style>
  <w:style w:type="paragraph" w:styleId="En-tte">
    <w:name w:val="header"/>
    <w:basedOn w:val="Normal"/>
    <w:link w:val="En-tteCar"/>
    <w:unhideWhenUsed/>
    <w:rsid w:val="008C4E84"/>
    <w:pPr>
      <w:tabs>
        <w:tab w:val="center" w:pos="4320"/>
        <w:tab w:val="right" w:pos="8640"/>
      </w:tabs>
      <w:spacing w:after="0" w:line="240" w:lineRule="auto"/>
    </w:pPr>
  </w:style>
  <w:style w:type="character" w:customStyle="1" w:styleId="En-tteCar">
    <w:name w:val="En-tête Car"/>
    <w:basedOn w:val="Policepardfaut"/>
    <w:link w:val="En-tte"/>
    <w:rsid w:val="008C4E84"/>
  </w:style>
  <w:style w:type="paragraph" w:styleId="Pieddepage">
    <w:name w:val="footer"/>
    <w:basedOn w:val="Normal"/>
    <w:link w:val="PieddepageCar"/>
    <w:uiPriority w:val="99"/>
    <w:unhideWhenUsed/>
    <w:rsid w:val="008C4E8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C4E84"/>
  </w:style>
  <w:style w:type="character" w:customStyle="1" w:styleId="Titre1Car">
    <w:name w:val="Titre 1 Car"/>
    <w:basedOn w:val="Policepardfaut"/>
    <w:link w:val="Titre1"/>
    <w:uiPriority w:val="9"/>
    <w:rsid w:val="001C6F23"/>
    <w:rPr>
      <w:rFonts w:asciiTheme="majorHAnsi" w:eastAsiaTheme="majorEastAsia" w:hAnsiTheme="majorHAnsi" w:cstheme="majorBidi"/>
      <w:color w:val="2E74B5" w:themeColor="accent1" w:themeShade="BF"/>
      <w:sz w:val="32"/>
      <w:szCs w:val="32"/>
      <w:lang w:eastAsia="fr-CA"/>
    </w:rPr>
  </w:style>
  <w:style w:type="paragraph" w:styleId="Textedebulles">
    <w:name w:val="Balloon Text"/>
    <w:basedOn w:val="Normal"/>
    <w:link w:val="TextedebullesCar"/>
    <w:uiPriority w:val="99"/>
    <w:semiHidden/>
    <w:unhideWhenUsed/>
    <w:rsid w:val="005435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35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jet_x0020_associ_x00e9_ xmlns="48594e1f-0a7d-406a-822b-be44fce5c27c">
      <Value>Processus de cession des licences</Value>
    </Sujet_x0020_associ_x00e9_>
    <Cat_x00e9_gorie xmlns="48594e1f-0a7d-406a-822b-be44fce5c27c">S.O.</Cat_x00e9_gorie>
    <Commentaires xmlns="48594e1f-0a7d-406a-822b-be44fce5c2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97DBD703E39346BD5F7E381F56FA77" ma:contentTypeVersion="4" ma:contentTypeDescription="Crée un document." ma:contentTypeScope="" ma:versionID="6bcfaad1421ac426c325c6fae6e0042a">
  <xsd:schema xmlns:xsd="http://www.w3.org/2001/XMLSchema" xmlns:xs="http://www.w3.org/2001/XMLSchema" xmlns:p="http://schemas.microsoft.com/office/2006/metadata/properties" xmlns:ns2="48594e1f-0a7d-406a-822b-be44fce5c27c" targetNamespace="http://schemas.microsoft.com/office/2006/metadata/properties" ma:root="true" ma:fieldsID="1317e4553328db5f0ee9b1e19e77a238" ns2:_="">
    <xsd:import namespace="48594e1f-0a7d-406a-822b-be44fce5c27c"/>
    <xsd:element name="properties">
      <xsd:complexType>
        <xsd:sequence>
          <xsd:element name="documentManagement">
            <xsd:complexType>
              <xsd:all>
                <xsd:element ref="ns2:Cat_x00e9_gorie" minOccurs="0"/>
                <xsd:element ref="ns2:Commentaires" minOccurs="0"/>
                <xsd:element ref="ns2:Sujet_x0020_associ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94e1f-0a7d-406a-822b-be44fce5c27c" elementFormDefault="qualified">
    <xsd:import namespace="http://schemas.microsoft.com/office/2006/documentManagement/types"/>
    <xsd:import namespace="http://schemas.microsoft.com/office/infopath/2007/PartnerControls"/>
    <xsd:element name="Cat_x00e9_gorie" ma:index="8" nillable="true" ma:displayName="Catégorie" ma:default="S.O." ma:format="Dropdown" ma:internalName="Cat_x00e9_gorie">
      <xsd:simpleType>
        <xsd:union memberTypes="dms:Text">
          <xsd:simpleType>
            <xsd:restriction base="dms:Choice">
              <xsd:enumeration value="Norme"/>
              <xsd:enumeration value="Loi"/>
              <xsd:enumeration value="Tableau de travail"/>
              <xsd:enumeration value="Consultations DOSSDEC"/>
              <xsd:enumeration value="Consultations PRÉPUBLICATION"/>
              <xsd:enumeration value="S.O."/>
              <xsd:enumeration value="Archives DAJ"/>
            </xsd:restriction>
          </xsd:simpleType>
        </xsd:union>
      </xsd:simpleType>
    </xsd:element>
    <xsd:element name="Commentaires" ma:index="9" nillable="true" ma:displayName="Commentaires" ma:description="Permet de commenter l'étape d'élaboration (ébauche, version, validation, etc." ma:internalName="Commentaires">
      <xsd:simpleType>
        <xsd:restriction base="dms:Note">
          <xsd:maxLength value="255"/>
        </xsd:restriction>
      </xsd:simpleType>
    </xsd:element>
    <xsd:element name="Sujet_x0020_associ_x00e9_" ma:index="10" nillable="true" ma:displayName="Sujet associé" ma:internalName="Sujet_x0020_associ_x00e9_">
      <xsd:complexType>
        <xsd:complexContent>
          <xsd:extension base="dms:MultiChoice">
            <xsd:sequence>
              <xsd:element name="Value" maxOccurs="unbounded" minOccurs="0" nillable="true">
                <xsd:simpleType>
                  <xsd:restriction base="dms:Choice">
                    <xsd:enumeration value="S.O."/>
                    <xsd:enumeration value="Règlement Tenure"/>
                    <xsd:enumeration value="Règlement Terrestre"/>
                    <xsd:enumeration value="Règlement Hydrique"/>
                    <xsd:enumeration value="Règlement Redevances"/>
                    <xsd:enumeration value="Volet - Comité de suivi"/>
                    <xsd:enumeration value="Volet - Pipeline"/>
                    <xsd:enumeration value="Volet - Garantie et Assurance"/>
                    <xsd:enumeration value="Volet - Régie de l'énergie"/>
                    <xsd:enumeration value="Volet - Mémoires"/>
                    <xsd:enumeration value="Volet - AIR"/>
                    <xsd:enumeration value="Volet - PCA"/>
                    <xsd:enumeration value="Volet - Projet de règlement"/>
                    <xsd:enumeration value="Volet - Avis de publication"/>
                    <xsd:enumeration value="Volet - Note d'intervention"/>
                    <xsd:enumeration value="Volet - Plans de communication"/>
                    <xsd:enumeration value="Volet - Consultations"/>
                    <xsd:enumeration value="Volet - Sommaires des mémoires"/>
                    <xsd:enumeration value="Volet - Note sur la pauvreté"/>
                    <xsd:enumeration value="Volet - Consultations AIR"/>
                    <xsd:enumeration value="Volet - Consultations DOSSDEC"/>
                    <xsd:enumeration value="Volet - Consultations PRÉPUBLICATION"/>
                    <xsd:enumeration value="Volet - Demandes média et Cabinet"/>
                    <xsd:enumeration value="Volet - PLMLHQ"/>
                    <xsd:enumeration value="Volet - Projets de règlements (PLMLHQ et Publication)"/>
                    <xsd:enumeration value="Volet - Documents de travail épurés pour la DAJ"/>
                    <xsd:enumeration value="Volet - Projets de règlements découlant de la publication"/>
                    <xsd:enumeration value="Volet - Projets de règlements modifiant les règlements édictés"/>
                    <xsd:enumeration value="Phase DOSSDEC - Deuxième publication"/>
                    <xsd:enumeration value="Phase consultation - Deuxième publication"/>
                    <xsd:enumeration value="Phase modification - Deuxième publication"/>
                    <xsd:enumeration value="Phase Édiction - Deuxième publication"/>
                    <xsd:enumeration value="BT 20180731-30"/>
                    <xsd:enumeration value="Volet - Mise en œuvre"/>
                    <xsd:enumeration value="Transitoire - Lettre de démarrage de la mise en oeuvre"/>
                    <xsd:enumeration value="Transitoire - Régime sans égard à la faute"/>
                    <xsd:enumeration value="Transitoire - Plan de fermeture définitive de puits, de réservoir et de restauration de site et garantie"/>
                    <xsd:enumeration value="Transitoire - Demande pendante"/>
                    <xsd:enumeration value="Transitoire - Mise en place des Comités de suivi"/>
                    <xsd:enumeration value="Transitoire - Autorisation d'exploiter de la saumure"/>
                    <xsd:enumeration value="Transitoire - Pipelines"/>
                    <xsd:enumeration value="Cadre général d'application des sanctions administratives pécuniaires"/>
                    <xsd:enumeration value="Arrêté concernant la délégation de l'exercice des pouvoirs attribués au ministre par la Loi sur les hydrocarbures"/>
                    <xsd:enumeration value="Guide des modalités de mise en place et de fonctionnement des Comités de suivi"/>
                    <xsd:enumeration value="Guide d'application conjoint pour les projets de production et de stockage d'hydrocarbures"/>
                    <xsd:enumeration value="Guide d'application conjoint pour les projets de construction ou d'utilisation d'un pipeline"/>
                    <xsd:enumeration value="Guide à l'intention des propriétaires fonciers"/>
                    <xsd:enumeration value="Guide d'application concernant les travaux admissibles"/>
                    <xsd:enumeration value="Guide d'application concernant le Régime d'appels d'offres"/>
                    <xsd:enumeration value="Guide de réalisation de l'étude technico-environnementale"/>
                    <xsd:enumeration value="Volet - Nouveau Cabinet"/>
                    <xsd:enumeration value="Poursuite - Questerre"/>
                    <xsd:enumeration value="Décret de correction"/>
                    <xsd:enumeration value="Volet - Relecture exhaustive des règlements"/>
                    <xsd:enumeration value="Processus de cession des licences"/>
                    <xsd:enumeration value="Processus d'abandon des licences"/>
                    <xsd:enumeration value="Processus de révocation des licences"/>
                    <xsd:enumeration value="Liste de vérification des autorisations"/>
                    <xsd:enumeration value="Liste de vérification des approbation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385F2-4829-4800-BD23-5C30F0EEC7FA}">
  <ds:schemaRefs>
    <ds:schemaRef ds:uri="http://schemas.microsoft.com/sharepoint/v3/contenttype/forms"/>
  </ds:schemaRefs>
</ds:datastoreItem>
</file>

<file path=customXml/itemProps2.xml><?xml version="1.0" encoding="utf-8"?>
<ds:datastoreItem xmlns:ds="http://schemas.openxmlformats.org/officeDocument/2006/customXml" ds:itemID="{20A612F5-76D9-4DB7-8B4E-D6FF186FF1FE}">
  <ds:schemaRefs>
    <ds:schemaRef ds:uri="http://schemas.microsoft.com/office/2006/metadata/properties"/>
    <ds:schemaRef ds:uri="http://schemas.microsoft.com/office/infopath/2007/PartnerControls"/>
    <ds:schemaRef ds:uri="48594e1f-0a7d-406a-822b-be44fce5c27c"/>
  </ds:schemaRefs>
</ds:datastoreItem>
</file>

<file path=customXml/itemProps3.xml><?xml version="1.0" encoding="utf-8"?>
<ds:datastoreItem xmlns:ds="http://schemas.openxmlformats.org/officeDocument/2006/customXml" ds:itemID="{AB7A6262-224D-4EFF-ACFD-32A507F21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94e1f-0a7d-406a-822b-be44fce5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EF1BC-A5B2-4A14-8C98-6502321B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952</Words>
  <Characters>5238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MRN</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Légaré-Laganière, Jacinthe (DBH)</dc:creator>
  <cp:keywords/>
  <dc:description/>
  <cp:lastModifiedBy>Dodier, Émilie (DGHB)</cp:lastModifiedBy>
  <cp:revision>3</cp:revision>
  <cp:lastPrinted>2019-02-08T16:46:00Z</cp:lastPrinted>
  <dcterms:created xsi:type="dcterms:W3CDTF">2019-03-14T19:04:00Z</dcterms:created>
  <dcterms:modified xsi:type="dcterms:W3CDTF">2019-03-25T19:59:00Z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0x010100FB97DBD703E39346BD5F7E381F56FA77</vt:lpwstr>
  </property>
</Properties>
</file>